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647BD" w14:textId="428A9D51" w:rsidR="002F788E" w:rsidRPr="00135178" w:rsidRDefault="002F788E" w:rsidP="002F788E">
      <w:pPr>
        <w:jc w:val="center"/>
        <w:rPr>
          <w:rFonts w:ascii="Arial" w:hAnsi="Arial" w:cs="Arial"/>
          <w:bCs/>
          <w:sz w:val="24"/>
          <w:szCs w:val="24"/>
        </w:rPr>
      </w:pPr>
      <w:r w:rsidRPr="00135178">
        <w:rPr>
          <w:rFonts w:ascii="Arial" w:hAnsi="Arial" w:cs="Arial"/>
          <w:bCs/>
          <w:sz w:val="24"/>
          <w:szCs w:val="24"/>
        </w:rPr>
        <w:t>La Legislatura de la Provincia de Tucumán sanciona con fuerza de</w:t>
      </w:r>
    </w:p>
    <w:p w14:paraId="749AF3FA" w14:textId="77777777" w:rsidR="002F788E" w:rsidRPr="00135178" w:rsidRDefault="002F788E" w:rsidP="002F788E">
      <w:pPr>
        <w:jc w:val="center"/>
        <w:rPr>
          <w:rFonts w:ascii="Arial" w:hAnsi="Arial" w:cs="Arial"/>
          <w:bCs/>
          <w:sz w:val="24"/>
          <w:szCs w:val="24"/>
        </w:rPr>
      </w:pPr>
      <w:r w:rsidRPr="00135178">
        <w:rPr>
          <w:rFonts w:ascii="Arial" w:hAnsi="Arial" w:cs="Arial"/>
          <w:bCs/>
          <w:sz w:val="24"/>
          <w:szCs w:val="24"/>
        </w:rPr>
        <w:t>LEY:</w:t>
      </w:r>
    </w:p>
    <w:p w14:paraId="24800837" w14:textId="77777777" w:rsidR="006B2355" w:rsidRPr="002F788E" w:rsidRDefault="006B2355" w:rsidP="002F788E">
      <w:pPr>
        <w:jc w:val="center"/>
        <w:rPr>
          <w:rFonts w:ascii="Arial" w:hAnsi="Arial" w:cs="Arial"/>
          <w:sz w:val="24"/>
          <w:szCs w:val="24"/>
        </w:rPr>
      </w:pPr>
    </w:p>
    <w:p w14:paraId="12103785" w14:textId="6CD6F39C" w:rsidR="002F788E" w:rsidRPr="002F788E" w:rsidRDefault="002F788E" w:rsidP="006B2355">
      <w:pPr>
        <w:spacing w:line="360" w:lineRule="auto"/>
        <w:jc w:val="both"/>
        <w:rPr>
          <w:rFonts w:ascii="Arial" w:hAnsi="Arial" w:cs="Arial"/>
          <w:sz w:val="24"/>
          <w:szCs w:val="24"/>
        </w:rPr>
      </w:pPr>
      <w:r w:rsidRPr="00135178">
        <w:rPr>
          <w:rFonts w:ascii="Arial" w:hAnsi="Arial" w:cs="Arial"/>
          <w:bCs/>
          <w:sz w:val="24"/>
          <w:szCs w:val="24"/>
        </w:rPr>
        <w:t>Artículo 1° -</w:t>
      </w:r>
      <w:r w:rsidRPr="002F788E">
        <w:rPr>
          <w:rFonts w:ascii="Arial" w:hAnsi="Arial" w:cs="Arial"/>
          <w:b w:val="0"/>
          <w:sz w:val="24"/>
          <w:szCs w:val="24"/>
        </w:rPr>
        <w:t xml:space="preserve"> </w:t>
      </w:r>
      <w:r w:rsidRPr="00135178">
        <w:rPr>
          <w:rFonts w:ascii="Arial" w:eastAsia="Times New Roman" w:hAnsi="Arial" w:cs="Arial"/>
          <w:b w:val="0"/>
          <w:bCs/>
          <w:sz w:val="24"/>
          <w:szCs w:val="24"/>
        </w:rPr>
        <w:t xml:space="preserve">La Casa de Gobierno de la Provincia de Tucumán estará custodiada por efectivos policiales vestidos con el </w:t>
      </w:r>
      <w:r w:rsidRPr="000B65FC">
        <w:rPr>
          <w:rFonts w:ascii="Arial" w:eastAsia="Times New Roman" w:hAnsi="Arial" w:cs="Arial"/>
          <w:sz w:val="24"/>
          <w:szCs w:val="24"/>
        </w:rPr>
        <w:t>Uniforme Histórico del Batallón Nº 5 de Infantería de Línea</w:t>
      </w:r>
      <w:r w:rsidRPr="00135178">
        <w:rPr>
          <w:rFonts w:ascii="Arial" w:eastAsia="Times New Roman" w:hAnsi="Arial" w:cs="Arial"/>
          <w:b w:val="0"/>
          <w:bCs/>
          <w:sz w:val="24"/>
          <w:szCs w:val="24"/>
        </w:rPr>
        <w:t xml:space="preserve">, con el cual luchó el 24 de </w:t>
      </w:r>
      <w:r w:rsidR="006B2355" w:rsidRPr="00135178">
        <w:rPr>
          <w:rFonts w:ascii="Arial" w:eastAsia="Times New Roman" w:hAnsi="Arial" w:cs="Arial"/>
          <w:b w:val="0"/>
          <w:bCs/>
          <w:sz w:val="24"/>
          <w:szCs w:val="24"/>
        </w:rPr>
        <w:t>septiembre</w:t>
      </w:r>
      <w:r w:rsidRPr="00135178">
        <w:rPr>
          <w:rFonts w:ascii="Arial" w:eastAsia="Times New Roman" w:hAnsi="Arial" w:cs="Arial"/>
          <w:b w:val="0"/>
          <w:bCs/>
          <w:sz w:val="24"/>
          <w:szCs w:val="24"/>
        </w:rPr>
        <w:t xml:space="preserve"> de 1812 en la Batalla de Tucumán. El mismo se basará en lo dispuesto por la Primera Junta de Gobierno el 29 de </w:t>
      </w:r>
      <w:r w:rsidR="006B2355" w:rsidRPr="00135178">
        <w:rPr>
          <w:rFonts w:ascii="Arial" w:eastAsia="Times New Roman" w:hAnsi="Arial" w:cs="Arial"/>
          <w:b w:val="0"/>
          <w:bCs/>
          <w:sz w:val="24"/>
          <w:szCs w:val="24"/>
        </w:rPr>
        <w:t>mayo</w:t>
      </w:r>
      <w:r w:rsidRPr="00135178">
        <w:rPr>
          <w:rFonts w:ascii="Arial" w:eastAsia="Times New Roman" w:hAnsi="Arial" w:cs="Arial"/>
          <w:b w:val="0"/>
          <w:bCs/>
          <w:sz w:val="24"/>
          <w:szCs w:val="24"/>
        </w:rPr>
        <w:t xml:space="preserve"> de 1810 al aprobar el </w:t>
      </w:r>
      <w:r w:rsidRPr="000B65FC">
        <w:rPr>
          <w:rFonts w:ascii="Arial" w:eastAsia="Times New Roman" w:hAnsi="Arial" w:cs="Arial"/>
          <w:sz w:val="24"/>
          <w:szCs w:val="24"/>
        </w:rPr>
        <w:t>“</w:t>
      </w:r>
      <w:r w:rsidRPr="000B65FC">
        <w:rPr>
          <w:rFonts w:ascii="Arial" w:eastAsia="Times New Roman" w:hAnsi="Arial" w:cs="Arial"/>
          <w:i/>
          <w:sz w:val="24"/>
          <w:szCs w:val="24"/>
        </w:rPr>
        <w:t>Uniforme General de Infantería</w:t>
      </w:r>
      <w:r w:rsidRPr="000B65FC">
        <w:rPr>
          <w:rFonts w:ascii="Arial" w:eastAsia="Times New Roman" w:hAnsi="Arial" w:cs="Arial"/>
          <w:sz w:val="24"/>
          <w:szCs w:val="24"/>
        </w:rPr>
        <w:t>”</w:t>
      </w:r>
      <w:r w:rsidRPr="00135178">
        <w:rPr>
          <w:rFonts w:ascii="Arial" w:eastAsia="Times New Roman" w:hAnsi="Arial" w:cs="Arial"/>
          <w:b w:val="0"/>
          <w:bCs/>
          <w:sz w:val="24"/>
          <w:szCs w:val="24"/>
        </w:rPr>
        <w:t xml:space="preserve"> de las unidades patrias; y se compondrá de: </w:t>
      </w:r>
      <w:r w:rsidRPr="00135178">
        <w:rPr>
          <w:rFonts w:ascii="Arial" w:eastAsia="Times New Roman" w:hAnsi="Arial" w:cs="Arial"/>
          <w:b w:val="0"/>
          <w:bCs/>
          <w:color w:val="222222"/>
          <w:sz w:val="24"/>
          <w:szCs w:val="24"/>
          <w:highlight w:val="white"/>
        </w:rPr>
        <w:t xml:space="preserve">casaca azul con faldones largos, con solapas, cuellos y vueltas encarnadas o </w:t>
      </w:r>
      <w:r w:rsidRPr="000B65FC">
        <w:rPr>
          <w:rFonts w:ascii="Arial" w:eastAsia="Times New Roman" w:hAnsi="Arial" w:cs="Arial"/>
          <w:color w:val="222222"/>
          <w:sz w:val="24"/>
          <w:szCs w:val="24"/>
          <w:highlight w:val="white"/>
        </w:rPr>
        <w:t>“</w:t>
      </w:r>
      <w:r w:rsidRPr="000B65FC">
        <w:rPr>
          <w:rFonts w:ascii="Arial" w:eastAsia="Times New Roman" w:hAnsi="Arial" w:cs="Arial"/>
          <w:i/>
          <w:color w:val="222222"/>
          <w:sz w:val="24"/>
          <w:szCs w:val="24"/>
          <w:highlight w:val="white"/>
        </w:rPr>
        <w:t>de color grana</w:t>
      </w:r>
      <w:r w:rsidRPr="000B65FC">
        <w:rPr>
          <w:rFonts w:ascii="Arial" w:eastAsia="Times New Roman" w:hAnsi="Arial" w:cs="Arial"/>
          <w:color w:val="222222"/>
          <w:sz w:val="24"/>
          <w:szCs w:val="24"/>
          <w:highlight w:val="white"/>
        </w:rPr>
        <w:t>”</w:t>
      </w:r>
      <w:r w:rsidRPr="00135178">
        <w:rPr>
          <w:rFonts w:ascii="Arial" w:eastAsia="Times New Roman" w:hAnsi="Arial" w:cs="Arial"/>
          <w:b w:val="0"/>
          <w:bCs/>
          <w:color w:val="222222"/>
          <w:sz w:val="24"/>
          <w:szCs w:val="24"/>
          <w:highlight w:val="white"/>
        </w:rPr>
        <w:t>. Las vueltas de los faldones también serán de paño grana o encarnado. Los bolsillos serán de corte horizontal. El cuello, vueltas, solapas y las carteras de los bolsillos estarán adornados con vivos blancos. Los botones serán siete de cada lado, de metal dorado. Los cuellos rojos irán con un sol con cara humana dorado. El uniforme se complementará con chaleco blanco y pantalón blanco en verano y azul en invierno. Morrión o chacó de suela negra con escarapela y placa de bronce con el número cinco (5), con penacho (o plumero) y cordones blancos. La escarapela del chacó será blanca con centro celeste. La tropa lucirá bandoleras blancas a ambos lados y estará armada</w:t>
      </w:r>
      <w:r w:rsidRPr="00135178">
        <w:rPr>
          <w:rFonts w:ascii="Arial" w:eastAsia="Times New Roman" w:hAnsi="Arial" w:cs="Arial"/>
          <w:b w:val="0"/>
          <w:bCs/>
          <w:sz w:val="24"/>
          <w:szCs w:val="24"/>
        </w:rPr>
        <w:t xml:space="preserve"> con mosquetes de avant-carga de época, con bayoneta de cubo larga. Los oficiales llevarán una sola bandolera blanca y estarán armados con sable de tipo “latón” o “sables Blücher”, que se usaron en las guerras de la Independencia, con vaina metálica, dos anillas, hoja curva y empuñadura con guardamanos de estribo.</w:t>
      </w:r>
    </w:p>
    <w:p w14:paraId="132E9D9F" w14:textId="5EC7F87A" w:rsidR="002F788E" w:rsidRDefault="002F788E" w:rsidP="002F788E">
      <w:pPr>
        <w:jc w:val="both"/>
        <w:rPr>
          <w:rFonts w:ascii="Arial" w:hAnsi="Arial" w:cs="Arial"/>
          <w:b w:val="0"/>
          <w:sz w:val="24"/>
          <w:szCs w:val="24"/>
        </w:rPr>
      </w:pPr>
    </w:p>
    <w:p w14:paraId="389439A3" w14:textId="77777777" w:rsidR="006B2355" w:rsidRPr="002F788E" w:rsidRDefault="006B2355" w:rsidP="002F788E">
      <w:pPr>
        <w:jc w:val="both"/>
        <w:rPr>
          <w:rFonts w:ascii="Arial" w:hAnsi="Arial" w:cs="Arial"/>
          <w:b w:val="0"/>
          <w:sz w:val="24"/>
          <w:szCs w:val="24"/>
        </w:rPr>
      </w:pPr>
    </w:p>
    <w:p w14:paraId="7E6187FE" w14:textId="51104B47" w:rsidR="002F788E" w:rsidRPr="002F788E" w:rsidRDefault="002F788E" w:rsidP="006B2355">
      <w:pPr>
        <w:spacing w:line="360" w:lineRule="auto"/>
        <w:jc w:val="both"/>
        <w:rPr>
          <w:rFonts w:ascii="Arial" w:eastAsia="Times New Roman" w:hAnsi="Arial" w:cs="Arial"/>
          <w:b w:val="0"/>
          <w:sz w:val="24"/>
          <w:szCs w:val="24"/>
        </w:rPr>
      </w:pPr>
      <w:r w:rsidRPr="00135178">
        <w:rPr>
          <w:rFonts w:ascii="Arial" w:hAnsi="Arial" w:cs="Arial"/>
          <w:bCs/>
          <w:sz w:val="24"/>
          <w:szCs w:val="24"/>
        </w:rPr>
        <w:lastRenderedPageBreak/>
        <w:t>Artículo 2°</w:t>
      </w:r>
      <w:r w:rsidRPr="002F788E">
        <w:rPr>
          <w:rFonts w:ascii="Arial" w:hAnsi="Arial" w:cs="Arial"/>
          <w:b w:val="0"/>
          <w:sz w:val="24"/>
          <w:szCs w:val="24"/>
        </w:rPr>
        <w:t xml:space="preserve"> </w:t>
      </w:r>
      <w:r w:rsidRPr="002F788E">
        <w:rPr>
          <w:rFonts w:ascii="Arial" w:hAnsi="Arial" w:cs="Arial"/>
          <w:sz w:val="24"/>
          <w:szCs w:val="24"/>
        </w:rPr>
        <w:t xml:space="preserve">- </w:t>
      </w:r>
      <w:r w:rsidRPr="00135178">
        <w:rPr>
          <w:rFonts w:ascii="Arial" w:eastAsia="Times New Roman" w:hAnsi="Arial" w:cs="Arial"/>
          <w:b w:val="0"/>
          <w:bCs/>
          <w:sz w:val="24"/>
          <w:szCs w:val="24"/>
        </w:rPr>
        <w:t xml:space="preserve">El Palacio Legislativo de la Provincia de Tucumán estará custodiado por efectivos policiales vestidos con el </w:t>
      </w:r>
      <w:r w:rsidRPr="000B65FC">
        <w:rPr>
          <w:rFonts w:ascii="Arial" w:eastAsia="Times New Roman" w:hAnsi="Arial" w:cs="Arial"/>
          <w:sz w:val="24"/>
          <w:szCs w:val="24"/>
        </w:rPr>
        <w:t>Uniforme Histórico del Batallón de Cazadores de Infantería Ligera</w:t>
      </w:r>
      <w:r w:rsidRPr="00135178">
        <w:rPr>
          <w:rFonts w:ascii="Arial" w:eastAsia="Times New Roman" w:hAnsi="Arial" w:cs="Arial"/>
          <w:b w:val="0"/>
          <w:bCs/>
          <w:sz w:val="24"/>
          <w:szCs w:val="24"/>
        </w:rPr>
        <w:t xml:space="preserve">, con el cual luchó el 24 de </w:t>
      </w:r>
      <w:r w:rsidR="006B2355" w:rsidRPr="00135178">
        <w:rPr>
          <w:rFonts w:ascii="Arial" w:eastAsia="Times New Roman" w:hAnsi="Arial" w:cs="Arial"/>
          <w:b w:val="0"/>
          <w:bCs/>
          <w:sz w:val="24"/>
          <w:szCs w:val="24"/>
        </w:rPr>
        <w:t>septiembre</w:t>
      </w:r>
      <w:r w:rsidRPr="00135178">
        <w:rPr>
          <w:rFonts w:ascii="Arial" w:eastAsia="Times New Roman" w:hAnsi="Arial" w:cs="Arial"/>
          <w:b w:val="0"/>
          <w:bCs/>
          <w:sz w:val="24"/>
          <w:szCs w:val="24"/>
        </w:rPr>
        <w:t xml:space="preserve"> de 1812 en la Batalla de Tucumán. El mismo se compondrá de: chaqueta (sin faldones) de color verde oscuro, con vivos rojos y 9 botones de metal dorados al frente, sin más adornos. Por debajo de la chaqueta, asomará un chaleco blanco. Cinturón con soporte para bayoneta y cartuchera ventral (“</w:t>
      </w:r>
      <w:r w:rsidRPr="00135178">
        <w:rPr>
          <w:rFonts w:ascii="Arial" w:eastAsia="Times New Roman" w:hAnsi="Arial" w:cs="Arial"/>
          <w:b w:val="0"/>
          <w:bCs/>
          <w:i/>
          <w:sz w:val="24"/>
          <w:szCs w:val="24"/>
        </w:rPr>
        <w:t>canana</w:t>
      </w:r>
      <w:r w:rsidRPr="00135178">
        <w:rPr>
          <w:rFonts w:ascii="Arial" w:eastAsia="Times New Roman" w:hAnsi="Arial" w:cs="Arial"/>
          <w:b w:val="0"/>
          <w:bCs/>
          <w:sz w:val="24"/>
          <w:szCs w:val="24"/>
        </w:rPr>
        <w:t xml:space="preserve">”), El morrión de estilo </w:t>
      </w:r>
      <w:r w:rsidRPr="000B65FC">
        <w:rPr>
          <w:rFonts w:ascii="Arial" w:eastAsia="Times New Roman" w:hAnsi="Arial" w:cs="Arial"/>
          <w:sz w:val="24"/>
          <w:szCs w:val="24"/>
        </w:rPr>
        <w:t>“</w:t>
      </w:r>
      <w:r w:rsidRPr="000B65FC">
        <w:rPr>
          <w:rFonts w:ascii="Arial" w:eastAsia="Times New Roman" w:hAnsi="Arial" w:cs="Arial"/>
          <w:i/>
          <w:sz w:val="24"/>
          <w:szCs w:val="24"/>
        </w:rPr>
        <w:t>Stovepipe</w:t>
      </w:r>
      <w:r w:rsidRPr="000B65FC">
        <w:rPr>
          <w:rFonts w:ascii="Arial" w:eastAsia="Times New Roman" w:hAnsi="Arial" w:cs="Arial"/>
          <w:sz w:val="24"/>
          <w:szCs w:val="24"/>
        </w:rPr>
        <w:t>”</w:t>
      </w:r>
      <w:r w:rsidRPr="00135178">
        <w:rPr>
          <w:rFonts w:ascii="Arial" w:eastAsia="Times New Roman" w:hAnsi="Arial" w:cs="Arial"/>
          <w:b w:val="0"/>
          <w:bCs/>
          <w:sz w:val="24"/>
          <w:szCs w:val="24"/>
        </w:rPr>
        <w:t xml:space="preserve"> (Tronco- cónico, con la parte superior más pequeña) de color negro, con cordones verdes, un cuerno de caza metálico y la escarapela con centro celeste y borde blanco. Llevará penacho de base verde y parte superior roja. Pantalones azules lisos (sin vivo ni franja) arremangados con botamanga sobre el botín y las polainas. La tropa estará armada con carabinas cortas de avant-carga de época. Los oficiales, sólo de estarán armados con sable de tipo “latón” o “sables Blücher”, que se usaron en las guerras de la Independencia, con vaina metálica, dos anillas, hoja curva y empuñadura con guardamanos de estribo.</w:t>
      </w:r>
    </w:p>
    <w:p w14:paraId="5ED096D4" w14:textId="77777777" w:rsidR="006B2355" w:rsidRPr="002F788E" w:rsidRDefault="006B2355" w:rsidP="002F788E">
      <w:pPr>
        <w:jc w:val="both"/>
        <w:rPr>
          <w:rFonts w:ascii="Arial" w:hAnsi="Arial" w:cs="Arial"/>
          <w:b w:val="0"/>
          <w:sz w:val="24"/>
          <w:szCs w:val="24"/>
        </w:rPr>
      </w:pPr>
    </w:p>
    <w:p w14:paraId="042D55CD" w14:textId="1048D154" w:rsidR="002F788E" w:rsidRPr="00135178" w:rsidRDefault="002F788E" w:rsidP="006B2355">
      <w:pPr>
        <w:spacing w:line="360" w:lineRule="auto"/>
        <w:jc w:val="both"/>
        <w:rPr>
          <w:rFonts w:ascii="Arial" w:hAnsi="Arial" w:cs="Arial"/>
          <w:b w:val="0"/>
          <w:bCs/>
          <w:sz w:val="24"/>
          <w:szCs w:val="24"/>
        </w:rPr>
      </w:pPr>
      <w:r w:rsidRPr="00135178">
        <w:rPr>
          <w:rFonts w:ascii="Arial" w:hAnsi="Arial" w:cs="Arial"/>
          <w:bCs/>
          <w:sz w:val="24"/>
          <w:szCs w:val="24"/>
        </w:rPr>
        <w:t>Artículo 3° -</w:t>
      </w:r>
      <w:r w:rsidRPr="002F788E">
        <w:rPr>
          <w:rFonts w:ascii="Arial" w:hAnsi="Arial" w:cs="Arial"/>
          <w:b w:val="0"/>
          <w:sz w:val="24"/>
          <w:szCs w:val="24"/>
        </w:rPr>
        <w:t xml:space="preserve"> </w:t>
      </w:r>
      <w:r w:rsidRPr="00135178">
        <w:rPr>
          <w:rFonts w:ascii="Arial" w:eastAsia="Times New Roman" w:hAnsi="Arial" w:cs="Arial"/>
          <w:b w:val="0"/>
          <w:bCs/>
          <w:sz w:val="24"/>
          <w:szCs w:val="24"/>
        </w:rPr>
        <w:t xml:space="preserve">Los efectivos de la Policía Montada de la Provincia de Tucumán que participen en actos oficiales, protocolares, desfiles o paradas militares, estarán vestidos con el Uniforme Histórico del Regimiento de Dragones del Perú, con el cual luchó el 24 de </w:t>
      </w:r>
      <w:r w:rsidR="006B2355" w:rsidRPr="00135178">
        <w:rPr>
          <w:rFonts w:ascii="Arial" w:eastAsia="Times New Roman" w:hAnsi="Arial" w:cs="Arial"/>
          <w:b w:val="0"/>
          <w:bCs/>
          <w:sz w:val="24"/>
          <w:szCs w:val="24"/>
        </w:rPr>
        <w:t>septiembre</w:t>
      </w:r>
      <w:r w:rsidRPr="00135178">
        <w:rPr>
          <w:rFonts w:ascii="Arial" w:eastAsia="Times New Roman" w:hAnsi="Arial" w:cs="Arial"/>
          <w:b w:val="0"/>
          <w:bCs/>
          <w:sz w:val="24"/>
          <w:szCs w:val="24"/>
        </w:rPr>
        <w:t xml:space="preserve"> de 1812 en la Batalla de Tucumán. El mismo se compondrá de: </w:t>
      </w:r>
      <w:r w:rsidRPr="00135178">
        <w:rPr>
          <w:rFonts w:ascii="Arial" w:eastAsia="Times New Roman" w:hAnsi="Arial" w:cs="Arial"/>
          <w:b w:val="0"/>
          <w:bCs/>
          <w:color w:val="050505"/>
          <w:sz w:val="24"/>
          <w:szCs w:val="24"/>
          <w:highlight w:val="white"/>
        </w:rPr>
        <w:t xml:space="preserve">chaqueta (sin faldones de frac) de paño azul, recta con 9 botones (de metal plateados) hasta la cintura, con vivos rojos al frente y en el borde de la solapa de los bolsillos, cuello y bocamanga en punta rojos con borde blanco. Al cuello, botón blanco con ojal en sardineta blanco y borde con vivo blanco. Pantalón tipo sajón azul con franja encarnada a los costados con botones </w:t>
      </w:r>
      <w:r w:rsidRPr="00135178">
        <w:rPr>
          <w:rFonts w:ascii="Arial" w:eastAsia="Times New Roman" w:hAnsi="Arial" w:cs="Arial"/>
          <w:b w:val="0"/>
          <w:bCs/>
          <w:color w:val="050505"/>
          <w:sz w:val="24"/>
          <w:szCs w:val="24"/>
          <w:highlight w:val="white"/>
        </w:rPr>
        <w:lastRenderedPageBreak/>
        <w:t>a lo largo y refuerzos de cuero negro en la parte interna e inferior de las perneras cubriendo las botas con espolines. Morrión o chacó de suela negro con la parte superior rematada en manga roja, terminada en borla del mismo color (plata para los oficiales). Barboquejo sencillo de cuero negro con dos botones dorados en la unión con el chacó. El mismo estará adornado con una escarapela (de tela) de las Provincias Unidas, con centro celeste y borde blanco. Correaje (cinturón para el sable y bandolera blanca) con municionero negro. Los efectivos estarán armados de sable de caballería: de un metro de longitud total. Largo de hoja: 85 cm. Peso aproximado: 1 kg., hoja curva para corte, empuñadura de madera, con monterilla y guardamanos de estribo. Vaina metálica con dos anillas para la sujeción.</w:t>
      </w:r>
    </w:p>
    <w:p w14:paraId="5A413E90" w14:textId="77777777" w:rsidR="002F788E" w:rsidRPr="002F788E" w:rsidRDefault="002F788E" w:rsidP="002F788E">
      <w:pPr>
        <w:jc w:val="both"/>
        <w:rPr>
          <w:rFonts w:ascii="Arial" w:hAnsi="Arial" w:cs="Arial"/>
          <w:b w:val="0"/>
          <w:sz w:val="24"/>
          <w:szCs w:val="24"/>
        </w:rPr>
      </w:pPr>
    </w:p>
    <w:p w14:paraId="1409F0C8" w14:textId="77777777" w:rsidR="002F788E" w:rsidRPr="00135178" w:rsidRDefault="002F788E" w:rsidP="006B2355">
      <w:pPr>
        <w:spacing w:line="360" w:lineRule="auto"/>
        <w:jc w:val="both"/>
        <w:rPr>
          <w:rFonts w:ascii="Arial" w:eastAsia="Times New Roman" w:hAnsi="Arial" w:cs="Arial"/>
          <w:b w:val="0"/>
          <w:bCs/>
          <w:sz w:val="24"/>
          <w:szCs w:val="24"/>
        </w:rPr>
      </w:pPr>
      <w:r w:rsidRPr="00135178">
        <w:rPr>
          <w:rFonts w:ascii="Arial" w:hAnsi="Arial" w:cs="Arial"/>
          <w:bCs/>
          <w:sz w:val="24"/>
          <w:szCs w:val="24"/>
        </w:rPr>
        <w:t>Artículo 4° -</w:t>
      </w:r>
      <w:r w:rsidRPr="002F788E">
        <w:rPr>
          <w:rFonts w:ascii="Arial" w:hAnsi="Arial" w:cs="Arial"/>
          <w:b w:val="0"/>
          <w:sz w:val="24"/>
          <w:szCs w:val="24"/>
        </w:rPr>
        <w:t xml:space="preserve"> </w:t>
      </w:r>
      <w:r w:rsidRPr="00135178">
        <w:rPr>
          <w:rFonts w:ascii="Arial" w:eastAsia="Times New Roman" w:hAnsi="Arial" w:cs="Arial"/>
          <w:b w:val="0"/>
          <w:bCs/>
          <w:sz w:val="24"/>
          <w:szCs w:val="24"/>
        </w:rPr>
        <w:t xml:space="preserve">Todas las unidades deben llevar botas negras hasta debajo de la rodilla y una réplica del escudo de paño </w:t>
      </w:r>
      <w:r w:rsidRPr="000B65FC">
        <w:rPr>
          <w:rFonts w:ascii="Arial" w:eastAsia="Times New Roman" w:hAnsi="Arial" w:cs="Arial"/>
          <w:sz w:val="24"/>
          <w:szCs w:val="24"/>
        </w:rPr>
        <w:t>“</w:t>
      </w:r>
      <w:r w:rsidRPr="000B65FC">
        <w:rPr>
          <w:rFonts w:ascii="Arial" w:eastAsia="Times New Roman" w:hAnsi="Arial" w:cs="Arial"/>
          <w:i/>
          <w:sz w:val="24"/>
          <w:szCs w:val="24"/>
        </w:rPr>
        <w:t>La Patria a su defensor en Tucumán</w:t>
      </w:r>
      <w:r w:rsidRPr="000B65FC">
        <w:rPr>
          <w:rFonts w:ascii="Arial" w:eastAsia="Times New Roman" w:hAnsi="Arial" w:cs="Arial"/>
          <w:sz w:val="24"/>
          <w:szCs w:val="24"/>
        </w:rPr>
        <w:t>”</w:t>
      </w:r>
      <w:r w:rsidRPr="00135178">
        <w:rPr>
          <w:rFonts w:ascii="Arial" w:eastAsia="Times New Roman" w:hAnsi="Arial" w:cs="Arial"/>
          <w:b w:val="0"/>
          <w:bCs/>
          <w:sz w:val="24"/>
          <w:szCs w:val="24"/>
        </w:rPr>
        <w:t>, que el Segundo Triunvirato concediera a los que participaron</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en la Batalla del</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Campo de las Carreras. El mismo será cosido en el antebrazo izquierdo, justo sobre la punta de las bocamangas de cada efectivo.</w:t>
      </w:r>
    </w:p>
    <w:p w14:paraId="5C66F3A8" w14:textId="77777777" w:rsidR="002F788E" w:rsidRPr="002F788E" w:rsidRDefault="002F788E" w:rsidP="002F788E">
      <w:pPr>
        <w:jc w:val="both"/>
        <w:rPr>
          <w:rFonts w:ascii="Arial" w:eastAsia="Times New Roman" w:hAnsi="Arial" w:cs="Arial"/>
          <w:sz w:val="24"/>
          <w:szCs w:val="24"/>
        </w:rPr>
      </w:pPr>
    </w:p>
    <w:p w14:paraId="7CD85F3C" w14:textId="338D7C93" w:rsidR="002F788E" w:rsidRDefault="002F788E" w:rsidP="006B2355">
      <w:pPr>
        <w:spacing w:line="360" w:lineRule="auto"/>
        <w:jc w:val="both"/>
        <w:rPr>
          <w:rFonts w:ascii="Arial" w:eastAsia="Times New Roman" w:hAnsi="Arial" w:cs="Arial"/>
          <w:sz w:val="24"/>
          <w:szCs w:val="24"/>
        </w:rPr>
      </w:pPr>
      <w:r w:rsidRPr="00135178">
        <w:rPr>
          <w:rFonts w:ascii="Arial" w:hAnsi="Arial" w:cs="Arial"/>
          <w:bCs/>
          <w:sz w:val="24"/>
          <w:szCs w:val="24"/>
        </w:rPr>
        <w:t>Artículo 5° -</w:t>
      </w:r>
      <w:r w:rsidRPr="002F788E">
        <w:rPr>
          <w:rFonts w:ascii="Arial" w:hAnsi="Arial" w:cs="Arial"/>
          <w:b w:val="0"/>
          <w:sz w:val="24"/>
          <w:szCs w:val="24"/>
        </w:rPr>
        <w:t xml:space="preserve"> </w:t>
      </w:r>
      <w:r w:rsidRPr="00135178">
        <w:rPr>
          <w:rFonts w:ascii="Arial" w:eastAsia="Times New Roman" w:hAnsi="Arial" w:cs="Arial"/>
          <w:b w:val="0"/>
          <w:bCs/>
          <w:sz w:val="24"/>
          <w:szCs w:val="24"/>
        </w:rPr>
        <w:t xml:space="preserve">Los efectivos utilizarán las Divisas de Grado prescriptas por el </w:t>
      </w:r>
      <w:r w:rsidRPr="000B65FC">
        <w:rPr>
          <w:rFonts w:ascii="Arial" w:eastAsia="Times New Roman" w:hAnsi="Arial" w:cs="Arial"/>
          <w:sz w:val="24"/>
          <w:szCs w:val="24"/>
        </w:rPr>
        <w:t>Reglamento de la Asamblea de 1813</w:t>
      </w:r>
      <w:r w:rsidRPr="00135178">
        <w:rPr>
          <w:rFonts w:ascii="Arial" w:eastAsia="Times New Roman" w:hAnsi="Arial" w:cs="Arial"/>
          <w:b w:val="0"/>
          <w:bCs/>
          <w:sz w:val="24"/>
          <w:szCs w:val="24"/>
        </w:rPr>
        <w:t>, a saber:</w:t>
      </w:r>
      <w:r w:rsidRPr="002F788E">
        <w:rPr>
          <w:rFonts w:ascii="Arial" w:eastAsia="Times New Roman" w:hAnsi="Arial" w:cs="Arial"/>
          <w:sz w:val="24"/>
          <w:szCs w:val="24"/>
        </w:rPr>
        <w:t xml:space="preserve"> </w:t>
      </w:r>
    </w:p>
    <w:p w14:paraId="13CA7803" w14:textId="0249A905" w:rsidR="002F788E" w:rsidRDefault="002F788E" w:rsidP="006B2355">
      <w:pPr>
        <w:spacing w:line="360" w:lineRule="auto"/>
        <w:jc w:val="both"/>
        <w:rPr>
          <w:rFonts w:ascii="Arial" w:eastAsia="Times New Roman" w:hAnsi="Arial" w:cs="Arial"/>
          <w:b w:val="0"/>
          <w:bCs/>
          <w:sz w:val="24"/>
          <w:szCs w:val="24"/>
        </w:rPr>
      </w:pPr>
      <w:r w:rsidRPr="002F788E">
        <w:rPr>
          <w:rFonts w:ascii="Arial" w:eastAsia="Times New Roman" w:hAnsi="Arial" w:cs="Arial"/>
          <w:sz w:val="24"/>
          <w:szCs w:val="24"/>
          <w:u w:val="single"/>
        </w:rPr>
        <w:t>Cabo y Cabo 1°</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 xml:space="preserve">Uno o dos galones en la manga del color del vivo. </w:t>
      </w:r>
    </w:p>
    <w:p w14:paraId="596ABE44" w14:textId="54934EF8" w:rsidR="002F788E" w:rsidRDefault="002F788E" w:rsidP="006B2355">
      <w:pPr>
        <w:spacing w:line="360" w:lineRule="auto"/>
        <w:jc w:val="both"/>
        <w:rPr>
          <w:rFonts w:ascii="Arial" w:eastAsia="Times New Roman" w:hAnsi="Arial" w:cs="Arial"/>
          <w:b w:val="0"/>
          <w:bCs/>
          <w:sz w:val="24"/>
          <w:szCs w:val="24"/>
        </w:rPr>
      </w:pPr>
      <w:r w:rsidRPr="002F788E">
        <w:rPr>
          <w:rFonts w:ascii="Arial" w:eastAsia="Times New Roman" w:hAnsi="Arial" w:cs="Arial"/>
          <w:sz w:val="24"/>
          <w:szCs w:val="24"/>
          <w:u w:val="single"/>
        </w:rPr>
        <w:t>Sargento</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Un cheurón amarillo y charreteras de lana roja. Rojo y oro para el Sargento. Agregar cheurones para los Sargentos Ayudantes, Suboficiales Principales y Suboficiales Mayores.</w:t>
      </w:r>
    </w:p>
    <w:p w14:paraId="6F1212DD" w14:textId="256F5D34" w:rsidR="002F788E" w:rsidRDefault="002F788E" w:rsidP="006B2355">
      <w:pPr>
        <w:spacing w:line="360" w:lineRule="auto"/>
        <w:jc w:val="both"/>
        <w:rPr>
          <w:rFonts w:ascii="Arial" w:eastAsia="Times New Roman" w:hAnsi="Arial" w:cs="Arial"/>
          <w:b w:val="0"/>
          <w:bCs/>
          <w:sz w:val="24"/>
          <w:szCs w:val="24"/>
        </w:rPr>
      </w:pPr>
      <w:r w:rsidRPr="002F788E">
        <w:rPr>
          <w:rFonts w:ascii="Arial" w:eastAsia="Times New Roman" w:hAnsi="Arial" w:cs="Arial"/>
          <w:sz w:val="24"/>
          <w:szCs w:val="24"/>
          <w:u w:val="single"/>
        </w:rPr>
        <w:lastRenderedPageBreak/>
        <w:t>Oficiales subalternos</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Galones dentro de las dos bocamangas, dorados o plateados según el color del botón del uniforme: uno para el subteniente, dos para el teniente de cualquier graduación) y tres para los capitanes. Sin charreteras.</w:t>
      </w:r>
    </w:p>
    <w:p w14:paraId="236A9229" w14:textId="009256B0" w:rsidR="002F788E" w:rsidRDefault="002F788E" w:rsidP="006B2355">
      <w:pPr>
        <w:spacing w:line="360" w:lineRule="auto"/>
        <w:jc w:val="both"/>
        <w:rPr>
          <w:rFonts w:ascii="Arial" w:eastAsia="Times New Roman" w:hAnsi="Arial" w:cs="Arial"/>
          <w:b w:val="0"/>
          <w:bCs/>
          <w:sz w:val="24"/>
          <w:szCs w:val="24"/>
        </w:rPr>
      </w:pPr>
      <w:r w:rsidRPr="002F788E">
        <w:rPr>
          <w:rFonts w:ascii="Arial" w:eastAsia="Times New Roman" w:hAnsi="Arial" w:cs="Arial"/>
          <w:sz w:val="24"/>
          <w:szCs w:val="24"/>
          <w:u w:val="single"/>
        </w:rPr>
        <w:t>Mayor (Sargento Mayor en 1813) y Teniente Coronel</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 xml:space="preserve">Charreteras de gusanillo metálico según el color del botón del uniforme (Dorado o plateado): Pala de color diferente para el Sargento Mayor, y del mismo color para el equivalente al Teniente Coronel.  </w:t>
      </w:r>
    </w:p>
    <w:p w14:paraId="4A75FBB2" w14:textId="77777777" w:rsidR="002F788E" w:rsidRPr="00135178" w:rsidRDefault="002F788E" w:rsidP="006B2355">
      <w:pPr>
        <w:spacing w:line="360" w:lineRule="auto"/>
        <w:jc w:val="both"/>
        <w:rPr>
          <w:rFonts w:ascii="Arial" w:eastAsia="Times New Roman" w:hAnsi="Arial" w:cs="Arial"/>
          <w:b w:val="0"/>
          <w:bCs/>
          <w:sz w:val="24"/>
          <w:szCs w:val="24"/>
        </w:rPr>
      </w:pPr>
      <w:r w:rsidRPr="002F788E">
        <w:rPr>
          <w:rFonts w:ascii="Arial" w:eastAsia="Times New Roman" w:hAnsi="Arial" w:cs="Arial"/>
          <w:sz w:val="24"/>
          <w:szCs w:val="24"/>
          <w:u w:val="single"/>
        </w:rPr>
        <w:t>Coroneles y Generales</w:t>
      </w:r>
      <w:r w:rsidRPr="002F788E">
        <w:rPr>
          <w:rFonts w:ascii="Arial" w:eastAsia="Times New Roman" w:hAnsi="Arial" w:cs="Arial"/>
          <w:sz w:val="24"/>
          <w:szCs w:val="24"/>
        </w:rPr>
        <w:t xml:space="preserve">: </w:t>
      </w:r>
      <w:r w:rsidRPr="00135178">
        <w:rPr>
          <w:rFonts w:ascii="Arial" w:eastAsia="Times New Roman" w:hAnsi="Arial" w:cs="Arial"/>
          <w:b w:val="0"/>
          <w:bCs/>
          <w:sz w:val="24"/>
          <w:szCs w:val="24"/>
        </w:rPr>
        <w:t>llevaban el mismo diseño de charretera establecido por el Reglamento de la Asamblea de 1813 o el lucido por el Gral. Antonio Francisco Ortiz de Ocampo en su retrato pintado en Charcas. Los generales llevarán, además un bordado de laureles en el cuello y la bocamanga.</w:t>
      </w:r>
    </w:p>
    <w:p w14:paraId="2B45BC79" w14:textId="77777777" w:rsidR="002F788E" w:rsidRPr="00135178" w:rsidRDefault="002F788E" w:rsidP="006B2355">
      <w:pPr>
        <w:spacing w:line="360" w:lineRule="auto"/>
        <w:jc w:val="both"/>
        <w:rPr>
          <w:rFonts w:ascii="Arial" w:hAnsi="Arial" w:cs="Arial"/>
          <w:b w:val="0"/>
          <w:bCs/>
          <w:sz w:val="24"/>
          <w:szCs w:val="24"/>
        </w:rPr>
      </w:pPr>
      <w:r w:rsidRPr="00135178">
        <w:rPr>
          <w:rFonts w:ascii="Arial" w:eastAsia="Times New Roman" w:hAnsi="Arial" w:cs="Arial"/>
          <w:b w:val="0"/>
          <w:bCs/>
          <w:sz w:val="24"/>
          <w:szCs w:val="24"/>
        </w:rPr>
        <w:t>A tal efecto, el Sr. Jefe de Policía adecuará la uniformidad a los grados actuales de la Policía de la Provincia de Tucumán, de acuerdo a los lineamientos expuestos en esta norma.</w:t>
      </w:r>
    </w:p>
    <w:p w14:paraId="2D5C3B82" w14:textId="77777777" w:rsidR="002F788E" w:rsidRPr="002F788E" w:rsidRDefault="002F788E" w:rsidP="002F788E">
      <w:pPr>
        <w:jc w:val="both"/>
        <w:rPr>
          <w:rFonts w:ascii="Arial" w:hAnsi="Arial" w:cs="Arial"/>
          <w:b w:val="0"/>
          <w:sz w:val="24"/>
          <w:szCs w:val="24"/>
        </w:rPr>
      </w:pPr>
    </w:p>
    <w:p w14:paraId="4663C3FE" w14:textId="77777777" w:rsidR="002F788E" w:rsidRPr="00135178" w:rsidRDefault="002F788E" w:rsidP="006B2355">
      <w:pPr>
        <w:spacing w:line="360" w:lineRule="auto"/>
        <w:jc w:val="both"/>
        <w:rPr>
          <w:rFonts w:ascii="Arial" w:hAnsi="Arial" w:cs="Arial"/>
          <w:b w:val="0"/>
          <w:bCs/>
          <w:sz w:val="24"/>
          <w:szCs w:val="24"/>
        </w:rPr>
      </w:pPr>
      <w:r w:rsidRPr="00135178">
        <w:rPr>
          <w:rFonts w:ascii="Arial" w:hAnsi="Arial" w:cs="Arial"/>
          <w:bCs/>
          <w:sz w:val="24"/>
          <w:szCs w:val="24"/>
        </w:rPr>
        <w:t>Artículo 6° -</w:t>
      </w:r>
      <w:r w:rsidRPr="002F788E">
        <w:rPr>
          <w:rFonts w:ascii="Arial" w:hAnsi="Arial" w:cs="Arial"/>
          <w:b w:val="0"/>
          <w:sz w:val="24"/>
          <w:szCs w:val="24"/>
        </w:rPr>
        <w:t xml:space="preserve"> </w:t>
      </w:r>
      <w:r w:rsidRPr="00135178">
        <w:rPr>
          <w:rFonts w:ascii="Arial" w:eastAsia="Times New Roman" w:hAnsi="Arial" w:cs="Arial"/>
          <w:b w:val="0"/>
          <w:bCs/>
          <w:sz w:val="24"/>
          <w:szCs w:val="24"/>
        </w:rPr>
        <w:t>El régimen de la guardia, la implementación de la presente y sus aspectos normativos serán dispuestos por el Ministerio de Seguridad de la Provincia, o en su defecto, el Sr. Jefe de la Policía de Tucumán, de conformidad a lo que prescriben los reglamentos policiales.</w:t>
      </w:r>
    </w:p>
    <w:p w14:paraId="7C62B1F9" w14:textId="77777777" w:rsidR="002F788E" w:rsidRPr="002F788E" w:rsidRDefault="002F788E" w:rsidP="006B2355">
      <w:pPr>
        <w:spacing w:line="360" w:lineRule="auto"/>
        <w:jc w:val="both"/>
        <w:rPr>
          <w:rFonts w:ascii="Arial" w:hAnsi="Arial" w:cs="Arial"/>
          <w:b w:val="0"/>
          <w:sz w:val="24"/>
          <w:szCs w:val="24"/>
        </w:rPr>
      </w:pPr>
    </w:p>
    <w:p w14:paraId="7152A154" w14:textId="77777777" w:rsidR="002F788E" w:rsidRPr="00F56E5D" w:rsidRDefault="002F788E" w:rsidP="006B2355">
      <w:pPr>
        <w:spacing w:line="360" w:lineRule="auto"/>
        <w:jc w:val="both"/>
        <w:rPr>
          <w:rFonts w:ascii="Arial" w:hAnsi="Arial" w:cs="Arial"/>
          <w:b w:val="0"/>
          <w:bCs/>
          <w:sz w:val="24"/>
          <w:szCs w:val="24"/>
        </w:rPr>
      </w:pPr>
      <w:r w:rsidRPr="00F56E5D">
        <w:rPr>
          <w:rFonts w:ascii="Arial" w:hAnsi="Arial" w:cs="Arial"/>
          <w:bCs/>
          <w:sz w:val="24"/>
          <w:szCs w:val="24"/>
        </w:rPr>
        <w:t>Artículo 7° -</w:t>
      </w:r>
      <w:r w:rsidRPr="002F788E">
        <w:rPr>
          <w:rFonts w:ascii="Arial" w:hAnsi="Arial" w:cs="Arial"/>
          <w:b w:val="0"/>
          <w:sz w:val="24"/>
          <w:szCs w:val="24"/>
        </w:rPr>
        <w:t xml:space="preserve"> </w:t>
      </w:r>
      <w:r w:rsidRPr="00F56E5D">
        <w:rPr>
          <w:rFonts w:ascii="Arial" w:hAnsi="Arial" w:cs="Arial"/>
          <w:b w:val="0"/>
          <w:bCs/>
          <w:sz w:val="24"/>
          <w:szCs w:val="24"/>
        </w:rPr>
        <w:t>Comuníquese al Poder Ejecutivo Provincial.</w:t>
      </w:r>
    </w:p>
    <w:p w14:paraId="66FA9C16" w14:textId="77777777" w:rsidR="002F788E" w:rsidRPr="002F788E" w:rsidRDefault="002F788E" w:rsidP="006B2355">
      <w:pPr>
        <w:spacing w:line="360" w:lineRule="auto"/>
        <w:jc w:val="both"/>
        <w:rPr>
          <w:rFonts w:ascii="Arial" w:hAnsi="Arial" w:cs="Arial"/>
          <w:b w:val="0"/>
          <w:sz w:val="24"/>
          <w:szCs w:val="24"/>
        </w:rPr>
      </w:pPr>
    </w:p>
    <w:p w14:paraId="28EF3156" w14:textId="3742E550" w:rsidR="002F788E" w:rsidRPr="00D25100" w:rsidRDefault="002F788E" w:rsidP="002F788E">
      <w:pPr>
        <w:jc w:val="both"/>
        <w:rPr>
          <w:rFonts w:ascii="Arial" w:eastAsia="Times New Roman" w:hAnsi="Arial" w:cs="Arial"/>
          <w:bCs/>
          <w:color w:val="000000"/>
          <w:sz w:val="24"/>
          <w:szCs w:val="24"/>
          <w:u w:val="single"/>
        </w:rPr>
      </w:pPr>
      <w:r w:rsidRPr="00D25100">
        <w:rPr>
          <w:rFonts w:ascii="Arial" w:hAnsi="Arial" w:cs="Arial"/>
          <w:bCs/>
          <w:sz w:val="24"/>
          <w:szCs w:val="24"/>
        </w:rPr>
        <w:lastRenderedPageBreak/>
        <w:t>PROYECTO DE VESTIR CON UNIFORMES HIST</w:t>
      </w:r>
      <w:r w:rsidRPr="00D25100">
        <w:rPr>
          <w:rFonts w:ascii="Arial" w:hAnsi="Arial" w:cs="Arial"/>
          <w:bCs/>
          <w:sz w:val="24"/>
          <w:szCs w:val="24"/>
          <w:lang w:val="es-419"/>
        </w:rPr>
        <w:t>ÓRICO A LA CUSTODIA POLICIAL DE CASA DE GOBIERNO Y LA LEGISLATURA</w:t>
      </w:r>
    </w:p>
    <w:p w14:paraId="7B4476E5" w14:textId="77777777" w:rsidR="002F788E" w:rsidRPr="00D25100" w:rsidRDefault="002F788E" w:rsidP="002F788E">
      <w:pPr>
        <w:jc w:val="both"/>
        <w:rPr>
          <w:rFonts w:ascii="Arial" w:hAnsi="Arial" w:cs="Arial"/>
          <w:b w:val="0"/>
          <w:sz w:val="24"/>
          <w:szCs w:val="24"/>
        </w:rPr>
      </w:pPr>
    </w:p>
    <w:p w14:paraId="0C923A69" w14:textId="77777777" w:rsidR="002F788E" w:rsidRPr="00D25100" w:rsidRDefault="002F788E" w:rsidP="002F788E">
      <w:pPr>
        <w:jc w:val="both"/>
        <w:rPr>
          <w:rFonts w:ascii="Arial" w:hAnsi="Arial" w:cs="Arial"/>
          <w:bCs/>
          <w:sz w:val="24"/>
          <w:szCs w:val="24"/>
        </w:rPr>
      </w:pPr>
      <w:r w:rsidRPr="00D25100">
        <w:rPr>
          <w:rFonts w:ascii="Arial" w:hAnsi="Arial" w:cs="Arial"/>
          <w:bCs/>
          <w:sz w:val="24"/>
          <w:szCs w:val="24"/>
        </w:rPr>
        <w:t>FUNDAMENTOS</w:t>
      </w:r>
    </w:p>
    <w:p w14:paraId="60D79480" w14:textId="77777777" w:rsidR="002F788E" w:rsidRPr="00D25100" w:rsidRDefault="002F788E" w:rsidP="002F788E">
      <w:pPr>
        <w:jc w:val="both"/>
        <w:rPr>
          <w:rFonts w:ascii="Arial" w:hAnsi="Arial" w:cs="Arial"/>
          <w:sz w:val="24"/>
          <w:szCs w:val="24"/>
        </w:rPr>
      </w:pPr>
    </w:p>
    <w:p w14:paraId="4968E1D8" w14:textId="77777777" w:rsidR="002F788E" w:rsidRPr="00D25100" w:rsidRDefault="002F788E" w:rsidP="002F788E">
      <w:pPr>
        <w:jc w:val="both"/>
        <w:rPr>
          <w:rFonts w:ascii="Arial" w:hAnsi="Arial" w:cs="Arial"/>
          <w:sz w:val="24"/>
          <w:szCs w:val="24"/>
        </w:rPr>
      </w:pPr>
      <w:r w:rsidRPr="00D25100">
        <w:rPr>
          <w:rFonts w:ascii="Arial" w:hAnsi="Arial" w:cs="Arial"/>
          <w:sz w:val="24"/>
          <w:szCs w:val="24"/>
        </w:rPr>
        <w:t>Señor presidente:</w:t>
      </w:r>
    </w:p>
    <w:p w14:paraId="4D4B1C92" w14:textId="5108592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 xml:space="preserve">La provincia de Tucumán posee una riqueza histórica y cultural que ha traspasado nuestras fronteras. En estas tierras se libró la crucial </w:t>
      </w:r>
      <w:r w:rsidRPr="00C90E4B">
        <w:rPr>
          <w:rFonts w:ascii="Arial" w:eastAsia="Times New Roman" w:hAnsi="Arial" w:cs="Arial"/>
          <w:bCs/>
          <w:sz w:val="24"/>
          <w:szCs w:val="24"/>
        </w:rPr>
        <w:t>Batalla de Tucumán</w:t>
      </w:r>
      <w:r w:rsidRPr="00D25100">
        <w:rPr>
          <w:rFonts w:ascii="Arial" w:eastAsia="Times New Roman" w:hAnsi="Arial" w:cs="Arial"/>
          <w:b w:val="0"/>
          <w:sz w:val="24"/>
          <w:szCs w:val="24"/>
        </w:rPr>
        <w:t xml:space="preserve">, que definió el curso de la Revolución que había estallado el 25 de </w:t>
      </w:r>
      <w:r w:rsidR="00C90E4B" w:rsidRPr="00D25100">
        <w:rPr>
          <w:rFonts w:ascii="Arial" w:eastAsia="Times New Roman" w:hAnsi="Arial" w:cs="Arial"/>
          <w:b w:val="0"/>
          <w:sz w:val="24"/>
          <w:szCs w:val="24"/>
        </w:rPr>
        <w:t>mayo</w:t>
      </w:r>
      <w:r w:rsidRPr="00D25100">
        <w:rPr>
          <w:rFonts w:ascii="Arial" w:eastAsia="Times New Roman" w:hAnsi="Arial" w:cs="Arial"/>
          <w:b w:val="0"/>
          <w:sz w:val="24"/>
          <w:szCs w:val="24"/>
        </w:rPr>
        <w:t xml:space="preserve"> de 1810; y también se declaró la </w:t>
      </w:r>
      <w:r w:rsidRPr="00C90E4B">
        <w:rPr>
          <w:rFonts w:ascii="Arial" w:eastAsia="Times New Roman" w:hAnsi="Arial" w:cs="Arial"/>
          <w:bCs/>
          <w:sz w:val="24"/>
          <w:szCs w:val="24"/>
        </w:rPr>
        <w:t>Independencia de las Provincias Unidas en Sudamérica</w:t>
      </w:r>
      <w:r w:rsidRPr="00D25100">
        <w:rPr>
          <w:rFonts w:ascii="Arial" w:eastAsia="Times New Roman" w:hAnsi="Arial" w:cs="Arial"/>
          <w:b w:val="0"/>
          <w:sz w:val="24"/>
          <w:szCs w:val="24"/>
        </w:rPr>
        <w:t xml:space="preserve">, en el </w:t>
      </w:r>
      <w:r w:rsidRPr="00C90E4B">
        <w:rPr>
          <w:rFonts w:ascii="Arial" w:eastAsia="Times New Roman" w:hAnsi="Arial" w:cs="Arial"/>
          <w:bCs/>
          <w:sz w:val="24"/>
          <w:szCs w:val="24"/>
        </w:rPr>
        <w:t xml:space="preserve">Congreso General Constituyente </w:t>
      </w:r>
      <w:r w:rsidRPr="00D25100">
        <w:rPr>
          <w:rFonts w:ascii="Arial" w:eastAsia="Times New Roman" w:hAnsi="Arial" w:cs="Arial"/>
          <w:b w:val="0"/>
          <w:sz w:val="24"/>
          <w:szCs w:val="24"/>
        </w:rPr>
        <w:t>que sesionó en San Miguel de Tucumán el 9 de Julio de 1816.</w:t>
      </w:r>
    </w:p>
    <w:p w14:paraId="5593FD35" w14:textId="0471824C"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 xml:space="preserve">Tucumán ha sido también epicentro </w:t>
      </w:r>
      <w:r w:rsidR="001F38C4" w:rsidRPr="00D25100">
        <w:rPr>
          <w:rFonts w:ascii="Arial" w:eastAsia="Times New Roman" w:hAnsi="Arial" w:cs="Arial"/>
          <w:b w:val="0"/>
          <w:sz w:val="24"/>
          <w:szCs w:val="24"/>
        </w:rPr>
        <w:t>d</w:t>
      </w:r>
      <w:r w:rsidRPr="00D25100">
        <w:rPr>
          <w:rFonts w:ascii="Arial" w:eastAsia="Times New Roman" w:hAnsi="Arial" w:cs="Arial"/>
          <w:b w:val="0"/>
          <w:sz w:val="24"/>
          <w:szCs w:val="24"/>
        </w:rPr>
        <w:t xml:space="preserve">el Pronunciamiento del 7 de </w:t>
      </w:r>
      <w:r w:rsidR="00C90E4B" w:rsidRPr="00D25100">
        <w:rPr>
          <w:rFonts w:ascii="Arial" w:eastAsia="Times New Roman" w:hAnsi="Arial" w:cs="Arial"/>
          <w:b w:val="0"/>
          <w:sz w:val="24"/>
          <w:szCs w:val="24"/>
        </w:rPr>
        <w:t>abril</w:t>
      </w:r>
      <w:r w:rsidRPr="00D25100">
        <w:rPr>
          <w:rFonts w:ascii="Arial" w:eastAsia="Times New Roman" w:hAnsi="Arial" w:cs="Arial"/>
          <w:b w:val="0"/>
          <w:sz w:val="24"/>
          <w:szCs w:val="24"/>
        </w:rPr>
        <w:t xml:space="preserve"> de 1840, que fue el </w:t>
      </w:r>
      <w:r w:rsidR="001F38C4" w:rsidRPr="00D25100">
        <w:rPr>
          <w:rFonts w:ascii="Arial" w:eastAsia="Times New Roman" w:hAnsi="Arial" w:cs="Arial"/>
          <w:b w:val="0"/>
          <w:sz w:val="24"/>
          <w:szCs w:val="24"/>
        </w:rPr>
        <w:t>puntapié</w:t>
      </w:r>
      <w:r w:rsidRPr="00D25100">
        <w:rPr>
          <w:rFonts w:ascii="Arial" w:eastAsia="Times New Roman" w:hAnsi="Arial" w:cs="Arial"/>
          <w:b w:val="0"/>
          <w:sz w:val="24"/>
          <w:szCs w:val="24"/>
        </w:rPr>
        <w:t xml:space="preserve"> inicial de la </w:t>
      </w:r>
      <w:r w:rsidRPr="00C90E4B">
        <w:rPr>
          <w:rFonts w:ascii="Arial" w:eastAsia="Times New Roman" w:hAnsi="Arial" w:cs="Arial"/>
          <w:bCs/>
          <w:sz w:val="24"/>
          <w:szCs w:val="24"/>
        </w:rPr>
        <w:t>Liga o Coalición del Norte</w:t>
      </w:r>
      <w:r w:rsidRPr="00D25100">
        <w:rPr>
          <w:rFonts w:ascii="Arial" w:eastAsia="Times New Roman" w:hAnsi="Arial" w:cs="Arial"/>
          <w:b w:val="0"/>
          <w:sz w:val="24"/>
          <w:szCs w:val="24"/>
        </w:rPr>
        <w:t xml:space="preserve"> que, bajo la guía de </w:t>
      </w:r>
      <w:r w:rsidRPr="00C90E4B">
        <w:rPr>
          <w:rFonts w:ascii="Arial" w:eastAsia="Times New Roman" w:hAnsi="Arial" w:cs="Arial"/>
          <w:bCs/>
          <w:sz w:val="24"/>
          <w:szCs w:val="24"/>
        </w:rPr>
        <w:t>Marco Avellaneda</w:t>
      </w:r>
      <w:r w:rsidRPr="00D25100">
        <w:rPr>
          <w:rFonts w:ascii="Arial" w:eastAsia="Times New Roman" w:hAnsi="Arial" w:cs="Arial"/>
          <w:b w:val="0"/>
          <w:sz w:val="24"/>
          <w:szCs w:val="24"/>
        </w:rPr>
        <w:t>, agrupó a la mayoría de las provincias de la región en su lucha por la organización nacional y el dictado de una Constitución para nuestro país.</w:t>
      </w:r>
    </w:p>
    <w:p w14:paraId="2965B0DF"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Es en ese contexto que tenemos una asignatura pendiente en el rescate, revalorización y puesta en valor de nuestro pasado heroico y fundacional.</w:t>
      </w:r>
    </w:p>
    <w:p w14:paraId="574DC657" w14:textId="77777777" w:rsidR="00C90E4B"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 xml:space="preserve">En su oportunidad, el </w:t>
      </w:r>
      <w:r w:rsidRPr="00C90E4B">
        <w:rPr>
          <w:rFonts w:ascii="Arial" w:eastAsia="Times New Roman" w:hAnsi="Arial" w:cs="Arial"/>
          <w:bCs/>
          <w:sz w:val="24"/>
          <w:szCs w:val="24"/>
        </w:rPr>
        <w:t>Congreso de la Nación</w:t>
      </w:r>
      <w:r w:rsidRPr="00D25100">
        <w:rPr>
          <w:rFonts w:ascii="Arial" w:eastAsia="Times New Roman" w:hAnsi="Arial" w:cs="Arial"/>
          <w:b w:val="0"/>
          <w:sz w:val="24"/>
          <w:szCs w:val="24"/>
        </w:rPr>
        <w:t xml:space="preserve"> dictó la </w:t>
      </w:r>
      <w:r w:rsidRPr="00C90E4B">
        <w:rPr>
          <w:rFonts w:ascii="Arial" w:eastAsia="Times New Roman" w:hAnsi="Arial" w:cs="Arial"/>
          <w:bCs/>
          <w:sz w:val="24"/>
          <w:szCs w:val="24"/>
        </w:rPr>
        <w:t>Ley Nº 24.024</w:t>
      </w:r>
      <w:r w:rsidRPr="00D25100">
        <w:rPr>
          <w:rFonts w:ascii="Arial" w:eastAsia="Times New Roman" w:hAnsi="Arial" w:cs="Arial"/>
          <w:b w:val="0"/>
          <w:sz w:val="24"/>
          <w:szCs w:val="24"/>
        </w:rPr>
        <w:t xml:space="preserve">, </w:t>
      </w:r>
      <w:r w:rsidR="00C90E4B" w:rsidRPr="00D25100">
        <w:rPr>
          <w:rFonts w:ascii="Arial" w:eastAsia="Times New Roman" w:hAnsi="Arial" w:cs="Arial"/>
          <w:b w:val="0"/>
          <w:sz w:val="24"/>
          <w:szCs w:val="24"/>
        </w:rPr>
        <w:t>que,</w:t>
      </w:r>
      <w:r w:rsidRPr="00D25100">
        <w:rPr>
          <w:rFonts w:ascii="Arial" w:eastAsia="Times New Roman" w:hAnsi="Arial" w:cs="Arial"/>
          <w:b w:val="0"/>
          <w:sz w:val="24"/>
          <w:szCs w:val="24"/>
        </w:rPr>
        <w:t xml:space="preserve"> en este mismo contexto, dispuso rememorar nuestro pasado, disponiendo una custodia militar en la </w:t>
      </w:r>
      <w:r w:rsidRPr="00C90E4B">
        <w:rPr>
          <w:rFonts w:ascii="Arial" w:eastAsia="Times New Roman" w:hAnsi="Arial" w:cs="Arial"/>
          <w:bCs/>
          <w:sz w:val="24"/>
          <w:szCs w:val="24"/>
        </w:rPr>
        <w:t>Casa Histórica</w:t>
      </w:r>
      <w:r w:rsidRPr="00D25100">
        <w:rPr>
          <w:rFonts w:ascii="Arial" w:eastAsia="Times New Roman" w:hAnsi="Arial" w:cs="Arial"/>
          <w:b w:val="0"/>
          <w:sz w:val="24"/>
          <w:szCs w:val="24"/>
        </w:rPr>
        <w:t xml:space="preserve">. </w:t>
      </w:r>
    </w:p>
    <w:p w14:paraId="3D3F33F4" w14:textId="5DBEDEDB"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En su art. 2º ordena que</w:t>
      </w:r>
      <w:r w:rsidR="00C90E4B">
        <w:rPr>
          <w:rFonts w:ascii="Arial" w:eastAsia="Times New Roman" w:hAnsi="Arial" w:cs="Arial"/>
          <w:b w:val="0"/>
          <w:sz w:val="24"/>
          <w:szCs w:val="24"/>
        </w:rPr>
        <w:t>:</w:t>
      </w:r>
      <w:r w:rsidRPr="00D25100">
        <w:rPr>
          <w:rFonts w:ascii="Arial" w:eastAsia="Times New Roman" w:hAnsi="Arial" w:cs="Arial"/>
          <w:b w:val="0"/>
          <w:sz w:val="24"/>
          <w:szCs w:val="24"/>
        </w:rPr>
        <w:t xml:space="preserve"> </w:t>
      </w:r>
      <w:r w:rsidRPr="00C90E4B">
        <w:rPr>
          <w:rFonts w:ascii="Arial" w:eastAsia="Times New Roman" w:hAnsi="Arial" w:cs="Arial"/>
          <w:b w:val="0"/>
          <w:i/>
          <w:iCs/>
          <w:sz w:val="24"/>
          <w:szCs w:val="24"/>
        </w:rPr>
        <w:t>“El personal para este servicio será asignado de la dotación de la unidad que tenga guarnición en la ciudad de San Miguel de Tucumán”</w:t>
      </w:r>
      <w:r w:rsidRPr="00D25100">
        <w:rPr>
          <w:rFonts w:ascii="Arial" w:eastAsia="Times New Roman" w:hAnsi="Arial" w:cs="Arial"/>
          <w:b w:val="0"/>
          <w:sz w:val="24"/>
          <w:szCs w:val="24"/>
        </w:rPr>
        <w:t>.</w:t>
      </w:r>
    </w:p>
    <w:p w14:paraId="3CB8E26B" w14:textId="05DA7720"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Por su art. 3º, establece que</w:t>
      </w:r>
      <w:r w:rsidR="00C90E4B">
        <w:rPr>
          <w:rFonts w:ascii="Arial" w:eastAsia="Times New Roman" w:hAnsi="Arial" w:cs="Arial"/>
          <w:b w:val="0"/>
          <w:sz w:val="24"/>
          <w:szCs w:val="24"/>
        </w:rPr>
        <w:t xml:space="preserve">: </w:t>
      </w:r>
      <w:r w:rsidRPr="00C90E4B">
        <w:rPr>
          <w:rFonts w:ascii="Arial" w:eastAsia="Times New Roman" w:hAnsi="Arial" w:cs="Arial"/>
          <w:b w:val="0"/>
          <w:i/>
          <w:iCs/>
          <w:sz w:val="24"/>
          <w:szCs w:val="24"/>
        </w:rPr>
        <w:t xml:space="preserve">“El personal de centinelas estará apostado vestido con el uniforme histórico que correspondió al </w:t>
      </w:r>
      <w:r w:rsidRPr="00963511">
        <w:rPr>
          <w:rFonts w:ascii="Arial" w:eastAsia="Times New Roman" w:hAnsi="Arial" w:cs="Arial"/>
          <w:bCs/>
          <w:i/>
          <w:iCs/>
          <w:sz w:val="24"/>
          <w:szCs w:val="24"/>
        </w:rPr>
        <w:t>Batallón de Infantería 10</w:t>
      </w:r>
      <w:r w:rsidRPr="00C90E4B">
        <w:rPr>
          <w:rFonts w:ascii="Arial" w:eastAsia="Times New Roman" w:hAnsi="Arial" w:cs="Arial"/>
          <w:b w:val="0"/>
          <w:i/>
          <w:iCs/>
          <w:sz w:val="24"/>
          <w:szCs w:val="24"/>
        </w:rPr>
        <w:t xml:space="preserve"> por ser el mismo el antecesor de la actual unidad acantonada en Tucumán, Regimiento 19 de Infantería”</w:t>
      </w:r>
      <w:r w:rsidRPr="00D25100">
        <w:rPr>
          <w:rFonts w:ascii="Arial" w:eastAsia="Times New Roman" w:hAnsi="Arial" w:cs="Arial"/>
          <w:b w:val="0"/>
          <w:sz w:val="24"/>
          <w:szCs w:val="24"/>
        </w:rPr>
        <w:t>.</w:t>
      </w:r>
    </w:p>
    <w:p w14:paraId="1BD3075A" w14:textId="2918C1D2"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lastRenderedPageBreak/>
        <w:t>El art. 4º preceptúa que</w:t>
      </w:r>
      <w:r w:rsidR="00C90E4B">
        <w:rPr>
          <w:rFonts w:ascii="Arial" w:eastAsia="Times New Roman" w:hAnsi="Arial" w:cs="Arial"/>
          <w:b w:val="0"/>
          <w:sz w:val="24"/>
          <w:szCs w:val="24"/>
        </w:rPr>
        <w:t>:</w:t>
      </w:r>
      <w:r w:rsidRPr="00D25100">
        <w:rPr>
          <w:rFonts w:ascii="Arial" w:eastAsia="Times New Roman" w:hAnsi="Arial" w:cs="Arial"/>
          <w:b w:val="0"/>
          <w:sz w:val="24"/>
          <w:szCs w:val="24"/>
        </w:rPr>
        <w:t xml:space="preserve"> </w:t>
      </w:r>
      <w:r w:rsidRPr="00C90E4B">
        <w:rPr>
          <w:rFonts w:ascii="Arial" w:eastAsia="Times New Roman" w:hAnsi="Arial" w:cs="Arial"/>
          <w:b w:val="0"/>
          <w:i/>
          <w:iCs/>
          <w:sz w:val="24"/>
          <w:szCs w:val="24"/>
        </w:rPr>
        <w:t xml:space="preserve">“El uniforme mencionado en el artículo precedente será el propuesto por el primer jefe del batallón, el coronel don </w:t>
      </w:r>
      <w:r w:rsidRPr="00963511">
        <w:rPr>
          <w:rFonts w:ascii="Arial" w:eastAsia="Times New Roman" w:hAnsi="Arial" w:cs="Arial"/>
          <w:bCs/>
          <w:i/>
          <w:iCs/>
          <w:sz w:val="24"/>
          <w:szCs w:val="24"/>
        </w:rPr>
        <w:t>Eduardo HOLMBERG</w:t>
      </w:r>
      <w:r w:rsidRPr="00C90E4B">
        <w:rPr>
          <w:rFonts w:ascii="Arial" w:eastAsia="Times New Roman" w:hAnsi="Arial" w:cs="Arial"/>
          <w:b w:val="0"/>
          <w:i/>
          <w:iCs/>
          <w:sz w:val="24"/>
          <w:szCs w:val="24"/>
        </w:rPr>
        <w:t>, cuando fue creado (9 de Agosto de 1814), o sea: ‘</w:t>
      </w:r>
      <w:r w:rsidRPr="00C90E4B">
        <w:rPr>
          <w:rFonts w:ascii="Arial" w:eastAsia="Times New Roman" w:hAnsi="Arial" w:cs="Arial"/>
          <w:i/>
          <w:iCs/>
          <w:sz w:val="24"/>
          <w:szCs w:val="24"/>
        </w:rPr>
        <w:t>morrión o gorra de suela con chapa blanca y el número del cuerpo; corbatín de suela; casaquilla azul con vueltas y cuello verde, vivo colorado, cabo blanco,  pantalón azul de paño y blanco de brin, botines negros y blancos</w:t>
      </w:r>
      <w:r w:rsidRPr="00C90E4B">
        <w:rPr>
          <w:rFonts w:ascii="Arial" w:eastAsia="Times New Roman" w:hAnsi="Arial" w:cs="Arial"/>
          <w:b w:val="0"/>
          <w:i/>
          <w:iCs/>
          <w:sz w:val="24"/>
          <w:szCs w:val="24"/>
        </w:rPr>
        <w:t>’”</w:t>
      </w:r>
      <w:r w:rsidRPr="00D25100">
        <w:rPr>
          <w:rFonts w:ascii="Arial" w:eastAsia="Times New Roman" w:hAnsi="Arial" w:cs="Arial"/>
          <w:b w:val="0"/>
          <w:sz w:val="24"/>
          <w:szCs w:val="24"/>
        </w:rPr>
        <w:t>.</w:t>
      </w:r>
    </w:p>
    <w:p w14:paraId="09CDD16E"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El art. 5º prevé que “</w:t>
      </w:r>
      <w:r w:rsidRPr="00D25100">
        <w:rPr>
          <w:rFonts w:ascii="Arial" w:eastAsia="Times New Roman" w:hAnsi="Arial" w:cs="Arial"/>
          <w:b w:val="0"/>
          <w:i/>
          <w:sz w:val="24"/>
          <w:szCs w:val="24"/>
        </w:rPr>
        <w:t>El régimen de guardia y sus aspectos normativos serán dispuestos por el jefe de la guarnición militar Tucumán, de conformidad a lo que prescriben los reglamentos militares</w:t>
      </w:r>
      <w:r w:rsidRPr="00D25100">
        <w:rPr>
          <w:rFonts w:ascii="Arial" w:eastAsia="Times New Roman" w:hAnsi="Arial" w:cs="Arial"/>
          <w:b w:val="0"/>
          <w:sz w:val="24"/>
          <w:szCs w:val="24"/>
        </w:rPr>
        <w:t>”.</w:t>
      </w:r>
    </w:p>
    <w:p w14:paraId="37E8123F"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De este modo, la Casa Histórica de la Independencia cuenta con una custodia conformada por soldados del Ejército Argentino ataviados con uniforme de época del Batallón N° 10 de Infantería; que fue el cuerpo que estuvo a cargo de custodiar las sesiones del Congreso de 1816, en ese mismo lugar.</w:t>
      </w:r>
    </w:p>
    <w:p w14:paraId="5D10D7F2"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A manera de continuar con acciones que recuperen aspectos trascendentes de nuestro pasado, proponemos que los efectivos policiales que cumplan las funciones de custodia de Casa de Gobierno y del Palacio Legislativo de la Provincia de Tucumán se encuentren ataviados con uniformes históricos correspondientes a los Batallones N° 5 y de Cazadores.</w:t>
      </w:r>
    </w:p>
    <w:p w14:paraId="6A394FAE" w14:textId="3F5169E2"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 xml:space="preserve">Ambos cuerpos de Infantería integraron el ejército patrio que, comandado por el Gral. Manuel Belgrano enfrentó a las fuerzas realistas en el Campo de las Carreras el 24 de </w:t>
      </w:r>
      <w:r w:rsidR="00D53D91" w:rsidRPr="00D25100">
        <w:rPr>
          <w:rFonts w:ascii="Arial" w:eastAsia="Times New Roman" w:hAnsi="Arial" w:cs="Arial"/>
          <w:b w:val="0"/>
          <w:sz w:val="24"/>
          <w:szCs w:val="24"/>
        </w:rPr>
        <w:t>septiembre</w:t>
      </w:r>
      <w:r w:rsidRPr="00D25100">
        <w:rPr>
          <w:rFonts w:ascii="Arial" w:eastAsia="Times New Roman" w:hAnsi="Arial" w:cs="Arial"/>
          <w:b w:val="0"/>
          <w:sz w:val="24"/>
          <w:szCs w:val="24"/>
        </w:rPr>
        <w:t xml:space="preserve"> de 1812.</w:t>
      </w:r>
    </w:p>
    <w:p w14:paraId="33B2AE36"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El Ejército Nacional y diversas fuerzas policiales provinciales han rescatado uniformes históricos que han utilizado distintas unidades militares durante el Siglo XIX para salvar dichos vestuarios del olvido y revalorizar, de este modo, nuestro pasado.</w:t>
      </w:r>
    </w:p>
    <w:p w14:paraId="68D22BF3"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Distintos países también hacen lucir a sus fuerzas armadas y de seguridad con uniformes de época, en ocasiones especiales (desfiles o paradas militares), o bien para ataviar a los efectivos que sirven en la custodia o guarda de sitios, objetos o monumentos históricos, personalidades o mandatarios. Los ejemplos abundan: Estados Unidos, la Federación Rusa, Gran Bretaña, Francia, España, Grecia y el propio Vaticano, entre otros. Más cerca de nosotros: Uruguay, Perú, Colombia o Brasil, por mencionar algunos.</w:t>
      </w:r>
    </w:p>
    <w:p w14:paraId="61ECFD6A"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lastRenderedPageBreak/>
        <w:t>Entre las provincias que han vestido a sus efectivos policiales con uniformes históricos tenemos, entre nosotros, a: Santa Fe, Entre Ríos y Santiago del Estero, por ejemplo.</w:t>
      </w:r>
    </w:p>
    <w:p w14:paraId="5BC2BA2D"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En el caso de Tucumán, la riqueza histórica que nos caracteriza no se compadece con su puesta en valor o su rescate, a los fines educativos, culturales o turísticos. Por tal motivo es que pensamos atinado presentar este proyecto, a los fines de que los efectivos policiales destinados a la custodia de Casa de Gobierno y del Palacio Legislativo puedan lucir tales uniformes históricos, a saber:</w:t>
      </w:r>
    </w:p>
    <w:p w14:paraId="586D350D" w14:textId="02387660" w:rsidR="00204F3C" w:rsidRPr="00D25100" w:rsidRDefault="00000000">
      <w:pPr>
        <w:jc w:val="both"/>
        <w:rPr>
          <w:rFonts w:ascii="Arial" w:eastAsia="Times New Roman" w:hAnsi="Arial" w:cs="Arial"/>
          <w:b w:val="0"/>
          <w:sz w:val="24"/>
          <w:szCs w:val="24"/>
        </w:rPr>
      </w:pPr>
      <w:r w:rsidRPr="00D25100">
        <w:rPr>
          <w:rFonts w:ascii="Arial" w:eastAsia="Times New Roman" w:hAnsi="Arial" w:cs="Arial"/>
          <w:sz w:val="24"/>
          <w:szCs w:val="24"/>
        </w:rPr>
        <w:t>1°) Efectivos que custodian Casa de Gobierno</w:t>
      </w:r>
      <w:r w:rsidRPr="00D25100">
        <w:rPr>
          <w:rFonts w:ascii="Arial" w:eastAsia="Times New Roman" w:hAnsi="Arial" w:cs="Arial"/>
          <w:b w:val="0"/>
          <w:sz w:val="24"/>
          <w:szCs w:val="24"/>
        </w:rPr>
        <w:t xml:space="preserve">: Ataviarlos con el uniforme histórico del Batallón N° 5 de Infantería; que combatió en la Batalla de Tucumán a las órdenes inmediatas del </w:t>
      </w:r>
      <w:r w:rsidR="00D53D91" w:rsidRPr="00D25100">
        <w:rPr>
          <w:rFonts w:ascii="Arial" w:eastAsia="Times New Roman" w:hAnsi="Arial" w:cs="Arial"/>
          <w:b w:val="0"/>
          <w:sz w:val="24"/>
          <w:szCs w:val="24"/>
        </w:rPr>
        <w:t>coronel</w:t>
      </w:r>
      <w:r w:rsidRPr="00D25100">
        <w:rPr>
          <w:rFonts w:ascii="Arial" w:eastAsia="Times New Roman" w:hAnsi="Arial" w:cs="Arial"/>
          <w:b w:val="0"/>
          <w:sz w:val="24"/>
          <w:szCs w:val="24"/>
        </w:rPr>
        <w:t xml:space="preserve"> Ignacio Warnes.</w:t>
      </w:r>
    </w:p>
    <w:p w14:paraId="7099125B" w14:textId="71DE6466" w:rsidR="00204F3C" w:rsidRPr="00D25100" w:rsidRDefault="00000000">
      <w:pPr>
        <w:jc w:val="both"/>
        <w:rPr>
          <w:rFonts w:ascii="Arial" w:eastAsia="Times New Roman" w:hAnsi="Arial" w:cs="Arial"/>
          <w:b w:val="0"/>
          <w:sz w:val="24"/>
          <w:szCs w:val="24"/>
        </w:rPr>
      </w:pPr>
      <w:r w:rsidRPr="00D25100">
        <w:rPr>
          <w:rFonts w:ascii="Arial" w:eastAsia="Times New Roman" w:hAnsi="Arial" w:cs="Arial"/>
          <w:sz w:val="24"/>
          <w:szCs w:val="24"/>
        </w:rPr>
        <w:t>2°) Efectivos que custodian el Palacio Legislativo</w:t>
      </w:r>
      <w:r w:rsidRPr="00D25100">
        <w:rPr>
          <w:rFonts w:ascii="Arial" w:eastAsia="Times New Roman" w:hAnsi="Arial" w:cs="Arial"/>
          <w:b w:val="0"/>
          <w:sz w:val="24"/>
          <w:szCs w:val="24"/>
        </w:rPr>
        <w:t xml:space="preserve">: Ataviarlos con el uniforme histórico del Batallón de Cazadores, que luchó el 24 de </w:t>
      </w:r>
      <w:r w:rsidR="00D53D91" w:rsidRPr="00D25100">
        <w:rPr>
          <w:rFonts w:ascii="Arial" w:eastAsia="Times New Roman" w:hAnsi="Arial" w:cs="Arial"/>
          <w:b w:val="0"/>
          <w:sz w:val="24"/>
          <w:szCs w:val="24"/>
        </w:rPr>
        <w:t>septiembre</w:t>
      </w:r>
      <w:r w:rsidRPr="00D25100">
        <w:rPr>
          <w:rFonts w:ascii="Arial" w:eastAsia="Times New Roman" w:hAnsi="Arial" w:cs="Arial"/>
          <w:b w:val="0"/>
          <w:sz w:val="24"/>
          <w:szCs w:val="24"/>
        </w:rPr>
        <w:t xml:space="preserve"> de 1812 bajo el mando del </w:t>
      </w:r>
      <w:r w:rsidR="00D53D91" w:rsidRPr="00D25100">
        <w:rPr>
          <w:rFonts w:ascii="Arial" w:eastAsia="Times New Roman" w:hAnsi="Arial" w:cs="Arial"/>
          <w:b w:val="0"/>
          <w:sz w:val="24"/>
          <w:szCs w:val="24"/>
        </w:rPr>
        <w:t>coronel</w:t>
      </w:r>
      <w:r w:rsidRPr="00D25100">
        <w:rPr>
          <w:rFonts w:ascii="Arial" w:eastAsia="Times New Roman" w:hAnsi="Arial" w:cs="Arial"/>
          <w:b w:val="0"/>
          <w:sz w:val="24"/>
          <w:szCs w:val="24"/>
        </w:rPr>
        <w:t xml:space="preserve"> Carlos Forest.</w:t>
      </w:r>
    </w:p>
    <w:p w14:paraId="3B6216B5" w14:textId="5A8F9F8D" w:rsidR="00204F3C" w:rsidRPr="00D25100" w:rsidRDefault="00000000">
      <w:pPr>
        <w:jc w:val="both"/>
        <w:rPr>
          <w:rFonts w:ascii="Arial" w:eastAsia="Times New Roman" w:hAnsi="Arial" w:cs="Arial"/>
          <w:b w:val="0"/>
          <w:sz w:val="24"/>
          <w:szCs w:val="24"/>
        </w:rPr>
      </w:pPr>
      <w:r w:rsidRPr="00D25100">
        <w:rPr>
          <w:rFonts w:ascii="Arial" w:eastAsia="Times New Roman" w:hAnsi="Arial" w:cs="Arial"/>
          <w:sz w:val="24"/>
          <w:szCs w:val="24"/>
        </w:rPr>
        <w:t>3°) Efectivos de la Policía Montada</w:t>
      </w:r>
      <w:r w:rsidRPr="00D25100">
        <w:rPr>
          <w:rFonts w:ascii="Arial" w:eastAsia="Times New Roman" w:hAnsi="Arial" w:cs="Arial"/>
          <w:b w:val="0"/>
          <w:sz w:val="24"/>
          <w:szCs w:val="24"/>
        </w:rPr>
        <w:t xml:space="preserve">: Ataviarlos para desfiles, paradas militares o acontecimientos especiales (asunción de un nuevo Gobernador, inicio del período de sesiones legislativas, etc.) con el uniforme histórico de los </w:t>
      </w:r>
      <w:r w:rsidRPr="00D25100">
        <w:rPr>
          <w:rFonts w:ascii="Arial" w:eastAsia="Times New Roman" w:hAnsi="Arial" w:cs="Arial"/>
          <w:sz w:val="24"/>
          <w:szCs w:val="24"/>
        </w:rPr>
        <w:t>Dragones Ligeros del Perú</w:t>
      </w:r>
      <w:r w:rsidRPr="00D25100">
        <w:rPr>
          <w:rFonts w:ascii="Arial" w:eastAsia="Times New Roman" w:hAnsi="Arial" w:cs="Arial"/>
          <w:b w:val="0"/>
          <w:sz w:val="24"/>
          <w:szCs w:val="24"/>
        </w:rPr>
        <w:t xml:space="preserve">; unidad donde revistaban </w:t>
      </w:r>
      <w:r w:rsidRPr="00D25100">
        <w:rPr>
          <w:rFonts w:ascii="Arial" w:eastAsia="Times New Roman" w:hAnsi="Arial" w:cs="Arial"/>
          <w:sz w:val="24"/>
          <w:szCs w:val="24"/>
        </w:rPr>
        <w:t>Gregorio Aráoz de Lamadrid</w:t>
      </w:r>
      <w:r w:rsidRPr="00D25100">
        <w:rPr>
          <w:rFonts w:ascii="Arial" w:eastAsia="Times New Roman" w:hAnsi="Arial" w:cs="Arial"/>
          <w:b w:val="0"/>
          <w:sz w:val="24"/>
          <w:szCs w:val="24"/>
        </w:rPr>
        <w:t xml:space="preserve"> y </w:t>
      </w:r>
      <w:r w:rsidRPr="00D25100">
        <w:rPr>
          <w:rFonts w:ascii="Arial" w:eastAsia="Times New Roman" w:hAnsi="Arial" w:cs="Arial"/>
          <w:sz w:val="24"/>
          <w:szCs w:val="24"/>
        </w:rPr>
        <w:t>José María Paz</w:t>
      </w:r>
      <w:r w:rsidRPr="00D25100">
        <w:rPr>
          <w:rFonts w:ascii="Arial" w:eastAsia="Times New Roman" w:hAnsi="Arial" w:cs="Arial"/>
          <w:b w:val="0"/>
          <w:sz w:val="24"/>
          <w:szCs w:val="24"/>
        </w:rPr>
        <w:t xml:space="preserve">, entre otros. Esta unidad se lució en el Campo de las Carreras al mando del </w:t>
      </w:r>
      <w:r w:rsidR="00D53D91" w:rsidRPr="00D53D91">
        <w:rPr>
          <w:rFonts w:ascii="Arial" w:eastAsia="Times New Roman" w:hAnsi="Arial" w:cs="Arial"/>
          <w:b w:val="0"/>
          <w:bCs/>
          <w:sz w:val="24"/>
          <w:szCs w:val="24"/>
        </w:rPr>
        <w:t>coronel</w:t>
      </w:r>
      <w:r w:rsidRPr="00D25100">
        <w:rPr>
          <w:rFonts w:ascii="Arial" w:eastAsia="Times New Roman" w:hAnsi="Arial" w:cs="Arial"/>
          <w:sz w:val="24"/>
          <w:szCs w:val="24"/>
        </w:rPr>
        <w:t xml:space="preserve"> Juan Ramón Balcarce</w:t>
      </w:r>
      <w:r w:rsidRPr="00D25100">
        <w:rPr>
          <w:rFonts w:ascii="Arial" w:eastAsia="Times New Roman" w:hAnsi="Arial" w:cs="Arial"/>
          <w:b w:val="0"/>
          <w:sz w:val="24"/>
          <w:szCs w:val="24"/>
        </w:rPr>
        <w:t>.</w:t>
      </w:r>
    </w:p>
    <w:p w14:paraId="3D0DFC17" w14:textId="105645A3"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t xml:space="preserve">En la redacción de este proyecto nos hemos basado en los trabajos de investigación realizados por el reconocido historiador argentino, </w:t>
      </w:r>
      <w:r w:rsidRPr="00D25100">
        <w:rPr>
          <w:rFonts w:ascii="Arial" w:eastAsia="Times New Roman" w:hAnsi="Arial" w:cs="Arial"/>
          <w:sz w:val="24"/>
          <w:szCs w:val="24"/>
        </w:rPr>
        <w:t>Dr. Julio Mario Luqui-Lagleize</w:t>
      </w:r>
      <w:r w:rsidRPr="00D25100">
        <w:rPr>
          <w:rFonts w:ascii="Arial" w:eastAsia="Times New Roman" w:hAnsi="Arial" w:cs="Arial"/>
          <w:b w:val="0"/>
          <w:sz w:val="24"/>
          <w:szCs w:val="24"/>
        </w:rPr>
        <w:t xml:space="preserve">, con respecto a la uniformidad de los uniformes patrios en las guerras de la independencia; así como a los trabajos de ilustración y de difusión de </w:t>
      </w:r>
      <w:r w:rsidRPr="00D25100">
        <w:rPr>
          <w:rFonts w:ascii="Arial" w:eastAsia="Times New Roman" w:hAnsi="Arial" w:cs="Arial"/>
          <w:sz w:val="24"/>
          <w:szCs w:val="24"/>
        </w:rPr>
        <w:t>Fernando Daniel Pedrazzoli</w:t>
      </w:r>
      <w:r w:rsidRPr="00D25100">
        <w:rPr>
          <w:rFonts w:ascii="Arial" w:eastAsia="Times New Roman" w:hAnsi="Arial" w:cs="Arial"/>
          <w:b w:val="0"/>
          <w:sz w:val="24"/>
          <w:szCs w:val="24"/>
        </w:rPr>
        <w:t xml:space="preserve">, más los aportes efectuados por el </w:t>
      </w:r>
      <w:r w:rsidRPr="00D25100">
        <w:rPr>
          <w:rFonts w:ascii="Arial" w:eastAsia="Times New Roman" w:hAnsi="Arial" w:cs="Arial"/>
          <w:sz w:val="24"/>
          <w:szCs w:val="24"/>
        </w:rPr>
        <w:t>Prof. Guillermo Horacio Brocchini</w:t>
      </w:r>
      <w:r w:rsidRPr="00D25100">
        <w:rPr>
          <w:rFonts w:ascii="Arial" w:eastAsia="Times New Roman" w:hAnsi="Arial" w:cs="Arial"/>
          <w:b w:val="0"/>
          <w:sz w:val="24"/>
          <w:szCs w:val="24"/>
        </w:rPr>
        <w:t>; reconocido recreacionista y gran conocedor de la uniformidad militar en tiempos de las guerras de la Independencia.</w:t>
      </w:r>
    </w:p>
    <w:p w14:paraId="5C8CCC21" w14:textId="77777777" w:rsidR="00204F3C" w:rsidRPr="00D25100" w:rsidRDefault="00000000">
      <w:pPr>
        <w:jc w:val="both"/>
        <w:rPr>
          <w:rFonts w:ascii="Arial" w:eastAsia="Times New Roman" w:hAnsi="Arial" w:cs="Arial"/>
          <w:b w:val="0"/>
          <w:sz w:val="24"/>
          <w:szCs w:val="24"/>
        </w:rPr>
      </w:pPr>
      <w:r w:rsidRPr="00D25100">
        <w:rPr>
          <w:rFonts w:ascii="Arial" w:eastAsia="Times New Roman" w:hAnsi="Arial" w:cs="Arial"/>
          <w:b w:val="0"/>
          <w:sz w:val="24"/>
          <w:szCs w:val="24"/>
        </w:rPr>
        <w:lastRenderedPageBreak/>
        <w:t xml:space="preserve">La imagen siguiente, tomada de un trabajo del </w:t>
      </w:r>
      <w:r w:rsidRPr="00D25100">
        <w:rPr>
          <w:rFonts w:ascii="Arial" w:eastAsia="Times New Roman" w:hAnsi="Arial" w:cs="Arial"/>
          <w:sz w:val="24"/>
          <w:szCs w:val="24"/>
        </w:rPr>
        <w:t>Dr. Luqui-Lagleize</w:t>
      </w:r>
      <w:r w:rsidRPr="00D25100">
        <w:rPr>
          <w:rFonts w:ascii="Arial" w:eastAsia="Times New Roman" w:hAnsi="Arial" w:cs="Arial"/>
          <w:sz w:val="24"/>
          <w:szCs w:val="24"/>
          <w:vertAlign w:val="superscript"/>
        </w:rPr>
        <w:footnoteReference w:id="1"/>
      </w:r>
      <w:r w:rsidRPr="00D25100">
        <w:rPr>
          <w:rFonts w:ascii="Arial" w:eastAsia="Times New Roman" w:hAnsi="Arial" w:cs="Arial"/>
          <w:b w:val="0"/>
          <w:sz w:val="24"/>
          <w:szCs w:val="24"/>
        </w:rPr>
        <w:t>, muestra cómo lucían algunas unidades del Ejército del Norte, en el período comprendido entre 1812-1816:</w:t>
      </w:r>
    </w:p>
    <w:p w14:paraId="207FFCA9" w14:textId="77777777" w:rsidR="00204F3C" w:rsidRDefault="00000000" w:rsidP="00D25100">
      <w:pPr>
        <w:jc w:val="center"/>
        <w:rPr>
          <w:rFonts w:ascii="Quattrocento Sans" w:eastAsia="Quattrocento Sans" w:hAnsi="Quattrocento Sans" w:cs="Quattrocento Sans"/>
          <w:color w:val="050505"/>
          <w:sz w:val="23"/>
          <w:szCs w:val="23"/>
          <w:highlight w:val="white"/>
        </w:rPr>
      </w:pPr>
      <w:r>
        <w:rPr>
          <w:noProof/>
        </w:rPr>
        <w:drawing>
          <wp:inline distT="0" distB="0" distL="0" distR="0" wp14:anchorId="630B90BF" wp14:editId="397881BF">
            <wp:extent cx="3263900" cy="4572000"/>
            <wp:effectExtent l="0" t="0" r="0" b="0"/>
            <wp:docPr id="23" name="image2.jpg" descr="C:\Users\USUARIO\Desktop\406003_382834878438992_1281813607_n.jpg"/>
            <wp:cNvGraphicFramePr/>
            <a:graphic xmlns:a="http://schemas.openxmlformats.org/drawingml/2006/main">
              <a:graphicData uri="http://schemas.openxmlformats.org/drawingml/2006/picture">
                <pic:pic xmlns:pic="http://schemas.openxmlformats.org/drawingml/2006/picture">
                  <pic:nvPicPr>
                    <pic:cNvPr id="0" name="image2.jpg" descr="C:\Users\USUARIO\Desktop\406003_382834878438992_1281813607_n.jpg"/>
                    <pic:cNvPicPr preferRelativeResize="0"/>
                  </pic:nvPicPr>
                  <pic:blipFill>
                    <a:blip r:embed="rId7"/>
                    <a:srcRect/>
                    <a:stretch>
                      <a:fillRect/>
                    </a:stretch>
                  </pic:blipFill>
                  <pic:spPr>
                    <a:xfrm>
                      <a:off x="0" y="0"/>
                      <a:ext cx="3273799" cy="4585866"/>
                    </a:xfrm>
                    <a:prstGeom prst="rect">
                      <a:avLst/>
                    </a:prstGeom>
                    <a:ln/>
                  </pic:spPr>
                </pic:pic>
              </a:graphicData>
            </a:graphic>
          </wp:inline>
        </w:drawing>
      </w:r>
    </w:p>
    <w:p w14:paraId="690C9DBC" w14:textId="77777777" w:rsidR="00204F3C" w:rsidRPr="006955FF" w:rsidRDefault="00000000">
      <w:pPr>
        <w:jc w:val="both"/>
        <w:rPr>
          <w:rFonts w:ascii="Times New Roman" w:eastAsia="Quattrocento Sans" w:hAnsi="Times New Roman" w:cs="Times New Roman"/>
          <w:b w:val="0"/>
          <w:color w:val="050505"/>
          <w:sz w:val="23"/>
          <w:szCs w:val="23"/>
          <w:highlight w:val="white"/>
        </w:rPr>
      </w:pPr>
      <w:r w:rsidRPr="006955FF">
        <w:rPr>
          <w:rFonts w:ascii="Times New Roman" w:eastAsia="Quattrocento Sans" w:hAnsi="Times New Roman" w:cs="Times New Roman"/>
          <w:color w:val="050505"/>
          <w:sz w:val="23"/>
          <w:szCs w:val="23"/>
          <w:highlight w:val="white"/>
        </w:rPr>
        <w:t>Arriba</w:t>
      </w:r>
      <w:r w:rsidRPr="006955FF">
        <w:rPr>
          <w:rFonts w:ascii="Times New Roman" w:eastAsia="Quattrocento Sans" w:hAnsi="Times New Roman" w:cs="Times New Roman"/>
          <w:b w:val="0"/>
          <w:color w:val="050505"/>
          <w:sz w:val="23"/>
          <w:szCs w:val="23"/>
          <w:highlight w:val="white"/>
        </w:rPr>
        <w:t xml:space="preserve">: de izquierda a derecha: Húsar de la Patria, (1812), </w:t>
      </w:r>
      <w:r w:rsidRPr="006955FF">
        <w:rPr>
          <w:rFonts w:ascii="Times New Roman" w:eastAsia="Quattrocento Sans" w:hAnsi="Times New Roman" w:cs="Times New Roman"/>
          <w:color w:val="050505"/>
          <w:sz w:val="23"/>
          <w:szCs w:val="23"/>
          <w:highlight w:val="white"/>
        </w:rPr>
        <w:t>Dragón Ligero del Perú (1812)</w:t>
      </w:r>
      <w:r w:rsidRPr="006955FF">
        <w:rPr>
          <w:rFonts w:ascii="Times New Roman" w:eastAsia="Quattrocento Sans" w:hAnsi="Times New Roman" w:cs="Times New Roman"/>
          <w:b w:val="0"/>
          <w:color w:val="050505"/>
          <w:sz w:val="23"/>
          <w:szCs w:val="23"/>
          <w:highlight w:val="white"/>
        </w:rPr>
        <w:t xml:space="preserve">, Capitán de Artillería Volante (1812), Dragón de la Patria (1813), Granadero a Caballo (1816). </w:t>
      </w:r>
      <w:r w:rsidRPr="006955FF">
        <w:rPr>
          <w:rFonts w:ascii="Times New Roman" w:eastAsia="Quattrocento Sans" w:hAnsi="Times New Roman" w:cs="Times New Roman"/>
          <w:color w:val="050505"/>
          <w:sz w:val="23"/>
          <w:szCs w:val="23"/>
          <w:highlight w:val="white"/>
        </w:rPr>
        <w:t>Abajo</w:t>
      </w:r>
      <w:r w:rsidRPr="006955FF">
        <w:rPr>
          <w:rFonts w:ascii="Times New Roman" w:eastAsia="Quattrocento Sans" w:hAnsi="Times New Roman" w:cs="Times New Roman"/>
          <w:b w:val="0"/>
          <w:color w:val="050505"/>
          <w:sz w:val="23"/>
          <w:szCs w:val="23"/>
          <w:highlight w:val="white"/>
        </w:rPr>
        <w:t xml:space="preserve">: Cazador del Regimiento N° 1 (1812), Sargento de Granaderos del Regimiento N° 2 (1813), Oficial del Regimiento N° 6 (1812), </w:t>
      </w:r>
      <w:r w:rsidRPr="006955FF">
        <w:rPr>
          <w:rFonts w:ascii="Times New Roman" w:eastAsia="Quattrocento Sans" w:hAnsi="Times New Roman" w:cs="Times New Roman"/>
          <w:color w:val="050505"/>
          <w:sz w:val="23"/>
          <w:szCs w:val="23"/>
          <w:highlight w:val="white"/>
        </w:rPr>
        <w:t>Cazador del Perú (1813),</w:t>
      </w:r>
      <w:r w:rsidRPr="006955FF">
        <w:rPr>
          <w:rFonts w:ascii="Times New Roman" w:eastAsia="Quattrocento Sans" w:hAnsi="Times New Roman" w:cs="Times New Roman"/>
          <w:b w:val="0"/>
          <w:color w:val="050505"/>
          <w:sz w:val="23"/>
          <w:szCs w:val="23"/>
          <w:highlight w:val="white"/>
        </w:rPr>
        <w:t xml:space="preserve"> Cazador del Regimiento N° 7 (1816), Granadero del Regimiento N° 10 (1816).</w:t>
      </w:r>
    </w:p>
    <w:p w14:paraId="240C13EF" w14:textId="77777777" w:rsidR="00204F3C" w:rsidRDefault="00204F3C">
      <w:pPr>
        <w:jc w:val="both"/>
        <w:rPr>
          <w:rFonts w:ascii="Quattrocento Sans" w:eastAsia="Quattrocento Sans" w:hAnsi="Quattrocento Sans" w:cs="Quattrocento Sans"/>
          <w:b w:val="0"/>
          <w:color w:val="050505"/>
          <w:sz w:val="23"/>
          <w:szCs w:val="23"/>
          <w:highlight w:val="white"/>
        </w:rPr>
      </w:pPr>
    </w:p>
    <w:p w14:paraId="7E657B1B" w14:textId="77777777" w:rsidR="00204F3C" w:rsidRPr="006955FF" w:rsidRDefault="00000000">
      <w:pPr>
        <w:jc w:val="center"/>
        <w:rPr>
          <w:rFonts w:ascii="Arial" w:eastAsia="Times New Roman" w:hAnsi="Arial" w:cs="Arial"/>
          <w:color w:val="050505"/>
          <w:sz w:val="24"/>
          <w:szCs w:val="24"/>
          <w:highlight w:val="white"/>
          <w:u w:val="single"/>
        </w:rPr>
      </w:pPr>
      <w:r w:rsidRPr="006955FF">
        <w:rPr>
          <w:rFonts w:ascii="Arial" w:eastAsia="Times New Roman" w:hAnsi="Arial" w:cs="Arial"/>
          <w:color w:val="050505"/>
          <w:sz w:val="24"/>
          <w:szCs w:val="24"/>
          <w:highlight w:val="white"/>
          <w:u w:val="single"/>
        </w:rPr>
        <w:t>Para la Caballería Montada Provincial:</w:t>
      </w:r>
    </w:p>
    <w:p w14:paraId="1630BF5C" w14:textId="77777777" w:rsidR="00204F3C" w:rsidRPr="006955FF" w:rsidRDefault="00000000">
      <w:pPr>
        <w:jc w:val="both"/>
        <w:rPr>
          <w:rFonts w:ascii="Arial" w:eastAsia="Times New Roman" w:hAnsi="Arial" w:cs="Arial"/>
          <w:b w:val="0"/>
          <w:color w:val="050505"/>
          <w:sz w:val="24"/>
          <w:szCs w:val="24"/>
          <w:highlight w:val="white"/>
        </w:rPr>
      </w:pPr>
      <w:r w:rsidRPr="006955FF">
        <w:rPr>
          <w:rFonts w:ascii="Arial" w:eastAsia="Times New Roman" w:hAnsi="Arial" w:cs="Arial"/>
          <w:b w:val="0"/>
          <w:color w:val="050505"/>
          <w:sz w:val="24"/>
          <w:szCs w:val="24"/>
          <w:highlight w:val="white"/>
        </w:rPr>
        <w:t>De la lámina mencionada, tomamos el uniforme de la Unidad de Caballería que sugerimos se adopte como modelo de parada para los efectivos de la Policía Montada provincial:</w:t>
      </w:r>
    </w:p>
    <w:p w14:paraId="6729EC55" w14:textId="77777777" w:rsidR="00204F3C" w:rsidRPr="006955FF" w:rsidRDefault="00000000">
      <w:pPr>
        <w:rPr>
          <w:rFonts w:ascii="Arial" w:eastAsia="Times New Roman" w:hAnsi="Arial" w:cs="Arial"/>
          <w:b w:val="0"/>
          <w:color w:val="050505"/>
          <w:sz w:val="24"/>
          <w:szCs w:val="24"/>
          <w:highlight w:val="white"/>
        </w:rPr>
      </w:pPr>
      <w:r w:rsidRPr="006955FF">
        <w:rPr>
          <w:rFonts w:ascii="Arial" w:eastAsia="Times New Roman" w:hAnsi="Arial" w:cs="Arial"/>
          <w:color w:val="050505"/>
          <w:sz w:val="24"/>
          <w:szCs w:val="24"/>
          <w:highlight w:val="white"/>
          <w:u w:val="single"/>
        </w:rPr>
        <w:t>Dragones Ligeros del Perú (1812)</w:t>
      </w:r>
    </w:p>
    <w:p w14:paraId="4E5C76C2" w14:textId="77777777" w:rsidR="00204F3C" w:rsidRPr="006955FF" w:rsidRDefault="00000000">
      <w:pPr>
        <w:jc w:val="both"/>
        <w:rPr>
          <w:rFonts w:ascii="Arial" w:eastAsia="Times New Roman" w:hAnsi="Arial" w:cs="Arial"/>
          <w:b w:val="0"/>
          <w:color w:val="050505"/>
          <w:sz w:val="24"/>
          <w:szCs w:val="24"/>
          <w:highlight w:val="white"/>
        </w:rPr>
      </w:pPr>
      <w:r w:rsidRPr="006955FF">
        <w:rPr>
          <w:rFonts w:ascii="Arial" w:eastAsia="Times New Roman" w:hAnsi="Arial" w:cs="Arial"/>
          <w:b w:val="0"/>
          <w:color w:val="050505"/>
          <w:sz w:val="24"/>
          <w:szCs w:val="24"/>
          <w:highlight w:val="white"/>
        </w:rPr>
        <w:t xml:space="preserve">Aporte del </w:t>
      </w:r>
      <w:r w:rsidRPr="006955FF">
        <w:rPr>
          <w:rFonts w:ascii="Arial" w:eastAsia="Times New Roman" w:hAnsi="Arial" w:cs="Arial"/>
          <w:color w:val="050505"/>
          <w:sz w:val="24"/>
          <w:szCs w:val="24"/>
          <w:highlight w:val="white"/>
        </w:rPr>
        <w:t>Prof. Guillermo Horacio Brocchini</w:t>
      </w:r>
      <w:r w:rsidRPr="006955FF">
        <w:rPr>
          <w:rFonts w:ascii="Arial" w:eastAsia="Times New Roman" w:hAnsi="Arial" w:cs="Arial"/>
          <w:b w:val="0"/>
          <w:color w:val="050505"/>
          <w:sz w:val="24"/>
          <w:szCs w:val="24"/>
          <w:highlight w:val="white"/>
        </w:rPr>
        <w:t xml:space="preserve">: Vestían chaqueta (sin faldones de frac) de paño azul recta con 9 botones (plateados) hasta la cintura, con vivos rojos al frente y en el borde de la solapa de los bolsillos, cuello y bocamanga en punta rojos con borde blanco. Al cuello, botón blanco con ojal en sardineta blanco y borde con vivo blanco. Pantalón tipo sajón azul con franja encarnada a los costados con botones a lo largo y refuerzos de cuero negro en la parte interna e inferior de las perneras cubriendo las botas con espolines. Morrión o chacó de suela negro con la parte superior rematada en manga roja terminada en borla del mismo color (plata para los oficiales). Barboquejo sencillo de cuero negro con dos botones en la unión con el chacó. Su único adorno era una escarapela (de tela) de las Provincias Unidas, con centro celeste y borde blanco. Correaje (cinturón para el sable y bandolera blanca) con municionero negro. </w:t>
      </w:r>
    </w:p>
    <w:p w14:paraId="4C44D04F" w14:textId="77777777" w:rsidR="00204F3C" w:rsidRPr="006955FF" w:rsidRDefault="00000000">
      <w:pPr>
        <w:jc w:val="both"/>
        <w:rPr>
          <w:rFonts w:ascii="Arial" w:eastAsia="Times New Roman" w:hAnsi="Arial" w:cs="Arial"/>
          <w:b w:val="0"/>
          <w:color w:val="050505"/>
          <w:sz w:val="24"/>
          <w:szCs w:val="24"/>
          <w:highlight w:val="white"/>
        </w:rPr>
      </w:pPr>
      <w:r w:rsidRPr="006955FF">
        <w:rPr>
          <w:rFonts w:ascii="Arial" w:eastAsia="Times New Roman" w:hAnsi="Arial" w:cs="Arial"/>
          <w:b w:val="0"/>
          <w:color w:val="050505"/>
          <w:sz w:val="24"/>
          <w:szCs w:val="24"/>
          <w:highlight w:val="white"/>
        </w:rPr>
        <w:t xml:space="preserve">El mismo </w:t>
      </w:r>
      <w:r w:rsidRPr="006955FF">
        <w:rPr>
          <w:rFonts w:ascii="Arial" w:eastAsia="Times New Roman" w:hAnsi="Arial" w:cs="Arial"/>
          <w:color w:val="050505"/>
          <w:sz w:val="24"/>
          <w:szCs w:val="24"/>
          <w:highlight w:val="white"/>
        </w:rPr>
        <w:t xml:space="preserve">Profesor Brocchini </w:t>
      </w:r>
      <w:r w:rsidRPr="006955FF">
        <w:rPr>
          <w:rFonts w:ascii="Arial" w:eastAsia="Times New Roman" w:hAnsi="Arial" w:cs="Arial"/>
          <w:b w:val="0"/>
          <w:color w:val="050505"/>
          <w:sz w:val="24"/>
          <w:szCs w:val="24"/>
          <w:highlight w:val="white"/>
        </w:rPr>
        <w:t>nos aporta estos dibujos, donde nos exhibe en detalle la uniformidad explicitada precedentemente:</w:t>
      </w:r>
    </w:p>
    <w:p w14:paraId="06F84CC1" w14:textId="77777777" w:rsidR="00204F3C" w:rsidRDefault="00000000" w:rsidP="00CA5E7B">
      <w:pPr>
        <w:jc w:val="center"/>
        <w:rPr>
          <w:rFonts w:ascii="Times New Roman" w:eastAsia="Times New Roman" w:hAnsi="Times New Roman" w:cs="Times New Roman"/>
          <w:b w:val="0"/>
          <w:sz w:val="24"/>
          <w:szCs w:val="24"/>
        </w:rPr>
      </w:pPr>
      <w:r w:rsidRPr="00CA5E7B">
        <w:rPr>
          <w:rFonts w:asciiTheme="minorHAnsi" w:eastAsia="Times New Roman" w:hAnsiTheme="minorHAnsi" w:cstheme="minorHAnsi"/>
          <w:b w:val="0"/>
          <w:noProof/>
          <w:color w:val="050505"/>
          <w:highlight w:val="white"/>
        </w:rPr>
        <w:lastRenderedPageBreak/>
        <w:drawing>
          <wp:inline distT="0" distB="0" distL="0" distR="0" wp14:anchorId="62351D10" wp14:editId="2AA8DD55">
            <wp:extent cx="3625900" cy="3753715"/>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25900" cy="3753715"/>
                    </a:xfrm>
                    <a:prstGeom prst="rect">
                      <a:avLst/>
                    </a:prstGeom>
                    <a:ln/>
                  </pic:spPr>
                </pic:pic>
              </a:graphicData>
            </a:graphic>
          </wp:inline>
        </w:drawing>
      </w:r>
      <w:r w:rsidRPr="00CA5E7B">
        <w:rPr>
          <w:rFonts w:asciiTheme="minorHAnsi" w:eastAsia="Times New Roman" w:hAnsiTheme="minorHAnsi" w:cstheme="minorHAnsi"/>
          <w:b w:val="0"/>
          <w:noProof/>
        </w:rPr>
        <w:drawing>
          <wp:inline distT="0" distB="0" distL="0" distR="0" wp14:anchorId="2B3FDCA6" wp14:editId="4C008CD1">
            <wp:extent cx="3462101" cy="3048007"/>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462101" cy="3048007"/>
                    </a:xfrm>
                    <a:prstGeom prst="rect">
                      <a:avLst/>
                    </a:prstGeom>
                    <a:ln/>
                  </pic:spPr>
                </pic:pic>
              </a:graphicData>
            </a:graphic>
          </wp:inline>
        </w:drawing>
      </w:r>
      <w:r w:rsidRPr="00CA5E7B">
        <w:rPr>
          <w:rFonts w:asciiTheme="minorHAnsi" w:eastAsia="Times New Roman" w:hAnsiTheme="minorHAnsi" w:cstheme="minorHAnsi"/>
          <w:b w:val="0"/>
          <w:noProof/>
        </w:rPr>
        <w:lastRenderedPageBreak/>
        <w:drawing>
          <wp:inline distT="0" distB="0" distL="0" distR="0" wp14:anchorId="4C2716D3" wp14:editId="12A381E2">
            <wp:extent cx="3929636" cy="1386115"/>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929636" cy="1386115"/>
                    </a:xfrm>
                    <a:prstGeom prst="rect">
                      <a:avLst/>
                    </a:prstGeom>
                    <a:ln/>
                  </pic:spPr>
                </pic:pic>
              </a:graphicData>
            </a:graphic>
          </wp:inline>
        </w:drawing>
      </w:r>
      <w:r w:rsidRPr="00CA5E7B">
        <w:rPr>
          <w:rFonts w:asciiTheme="minorHAnsi" w:eastAsia="Times New Roman" w:hAnsiTheme="minorHAnsi" w:cstheme="minorHAnsi"/>
          <w:b w:val="0"/>
          <w:noProof/>
        </w:rPr>
        <w:drawing>
          <wp:inline distT="0" distB="0" distL="0" distR="0" wp14:anchorId="25BA7DCA" wp14:editId="7E787B2E">
            <wp:extent cx="2132061" cy="2137459"/>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32061" cy="2137459"/>
                    </a:xfrm>
                    <a:prstGeom prst="rect">
                      <a:avLst/>
                    </a:prstGeom>
                    <a:ln/>
                  </pic:spPr>
                </pic:pic>
              </a:graphicData>
            </a:graphic>
          </wp:inline>
        </w:drawing>
      </w:r>
      <w:r w:rsidRPr="00CA5E7B">
        <w:rPr>
          <w:rFonts w:asciiTheme="minorHAnsi" w:eastAsia="Times New Roman" w:hAnsiTheme="minorHAnsi" w:cstheme="minorHAnsi"/>
          <w:b w:val="0"/>
          <w:noProof/>
        </w:rPr>
        <w:drawing>
          <wp:inline distT="0" distB="0" distL="0" distR="0" wp14:anchorId="6F1A9AE1" wp14:editId="6AB49DA6">
            <wp:extent cx="2658673" cy="2108602"/>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658673" cy="2108602"/>
                    </a:xfrm>
                    <a:prstGeom prst="rect">
                      <a:avLst/>
                    </a:prstGeom>
                    <a:ln/>
                  </pic:spPr>
                </pic:pic>
              </a:graphicData>
            </a:graphic>
          </wp:inline>
        </w:drawing>
      </w:r>
      <w:r w:rsidRPr="00CA5E7B">
        <w:rPr>
          <w:rFonts w:asciiTheme="minorHAnsi" w:eastAsia="Times New Roman" w:hAnsiTheme="minorHAnsi" w:cstheme="minorHAnsi"/>
          <w:b w:val="0"/>
          <w:noProof/>
        </w:rPr>
        <w:drawing>
          <wp:inline distT="0" distB="0" distL="0" distR="0" wp14:anchorId="2E10E982" wp14:editId="59DAF1E6">
            <wp:extent cx="2929466" cy="329565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929466" cy="3295650"/>
                    </a:xfrm>
                    <a:prstGeom prst="rect">
                      <a:avLst/>
                    </a:prstGeom>
                    <a:ln/>
                  </pic:spPr>
                </pic:pic>
              </a:graphicData>
            </a:graphic>
          </wp:inline>
        </w:drawing>
      </w:r>
    </w:p>
    <w:p w14:paraId="7EA54AB9" w14:textId="77777777" w:rsidR="00204F3C" w:rsidRPr="006955FF" w:rsidRDefault="00000000">
      <w:pPr>
        <w:jc w:val="both"/>
        <w:rPr>
          <w:rFonts w:ascii="Arial" w:eastAsia="Times New Roman" w:hAnsi="Arial" w:cs="Arial"/>
          <w:b w:val="0"/>
          <w:sz w:val="24"/>
          <w:szCs w:val="24"/>
        </w:rPr>
      </w:pPr>
      <w:r w:rsidRPr="006955FF">
        <w:rPr>
          <w:rFonts w:ascii="Arial" w:eastAsia="Times New Roman" w:hAnsi="Arial" w:cs="Arial"/>
          <w:b w:val="0"/>
          <w:sz w:val="24"/>
          <w:szCs w:val="24"/>
        </w:rPr>
        <w:lastRenderedPageBreak/>
        <w:t xml:space="preserve">En cuanto a las unidades de infantería, para custodia de los </w:t>
      </w:r>
      <w:r w:rsidRPr="006955FF">
        <w:rPr>
          <w:rFonts w:ascii="Arial" w:eastAsia="Times New Roman" w:hAnsi="Arial" w:cs="Arial"/>
          <w:sz w:val="24"/>
          <w:szCs w:val="24"/>
        </w:rPr>
        <w:t>Palacios de Gobierno</w:t>
      </w:r>
      <w:r w:rsidRPr="006955FF">
        <w:rPr>
          <w:rFonts w:ascii="Arial" w:eastAsia="Times New Roman" w:hAnsi="Arial" w:cs="Arial"/>
          <w:b w:val="0"/>
          <w:sz w:val="24"/>
          <w:szCs w:val="24"/>
        </w:rPr>
        <w:t xml:space="preserve"> y </w:t>
      </w:r>
      <w:r w:rsidRPr="006955FF">
        <w:rPr>
          <w:rFonts w:ascii="Arial" w:eastAsia="Times New Roman" w:hAnsi="Arial" w:cs="Arial"/>
          <w:sz w:val="24"/>
          <w:szCs w:val="24"/>
        </w:rPr>
        <w:t>Legislativo</w:t>
      </w:r>
      <w:r w:rsidRPr="006955FF">
        <w:rPr>
          <w:rFonts w:ascii="Arial" w:eastAsia="Times New Roman" w:hAnsi="Arial" w:cs="Arial"/>
          <w:b w:val="0"/>
          <w:sz w:val="24"/>
          <w:szCs w:val="24"/>
        </w:rPr>
        <w:t>, se propone utilizar la siguiente uniformidad:</w:t>
      </w:r>
    </w:p>
    <w:p w14:paraId="26308768" w14:textId="77777777" w:rsidR="00204F3C" w:rsidRPr="006955FF" w:rsidRDefault="00204F3C">
      <w:pPr>
        <w:jc w:val="both"/>
        <w:rPr>
          <w:rFonts w:ascii="Arial" w:eastAsia="Times New Roman" w:hAnsi="Arial" w:cs="Arial"/>
          <w:b w:val="0"/>
          <w:sz w:val="24"/>
          <w:szCs w:val="24"/>
        </w:rPr>
      </w:pPr>
    </w:p>
    <w:p w14:paraId="2EC75F59" w14:textId="77777777" w:rsidR="00204F3C" w:rsidRPr="00C83190" w:rsidRDefault="00000000">
      <w:pPr>
        <w:jc w:val="center"/>
        <w:rPr>
          <w:rFonts w:ascii="Arial" w:eastAsia="Times New Roman" w:hAnsi="Arial" w:cs="Arial"/>
          <w:b w:val="0"/>
          <w:sz w:val="24"/>
          <w:szCs w:val="24"/>
          <w:u w:val="single"/>
        </w:rPr>
      </w:pPr>
      <w:r w:rsidRPr="00C83190">
        <w:rPr>
          <w:rFonts w:ascii="Arial" w:eastAsia="Times New Roman" w:hAnsi="Arial" w:cs="Arial"/>
          <w:sz w:val="24"/>
          <w:szCs w:val="24"/>
          <w:u w:val="single"/>
        </w:rPr>
        <w:t>Para la Legislatura de Tucumán</w:t>
      </w:r>
      <w:r w:rsidRPr="00C83190">
        <w:rPr>
          <w:rFonts w:ascii="Arial" w:eastAsia="Times New Roman" w:hAnsi="Arial" w:cs="Arial"/>
          <w:b w:val="0"/>
          <w:sz w:val="24"/>
          <w:szCs w:val="24"/>
          <w:u w:val="single"/>
        </w:rPr>
        <w:t>:</w:t>
      </w:r>
    </w:p>
    <w:p w14:paraId="31A1A682" w14:textId="77777777" w:rsidR="00204F3C" w:rsidRPr="00C83190" w:rsidRDefault="00000000">
      <w:pPr>
        <w:jc w:val="both"/>
        <w:rPr>
          <w:rFonts w:ascii="Arial" w:eastAsia="Times New Roman" w:hAnsi="Arial" w:cs="Arial"/>
          <w:b w:val="0"/>
          <w:sz w:val="24"/>
          <w:szCs w:val="24"/>
        </w:rPr>
      </w:pPr>
      <w:r w:rsidRPr="00C83190">
        <w:rPr>
          <w:rFonts w:ascii="Arial" w:eastAsia="Times New Roman" w:hAnsi="Arial" w:cs="Arial"/>
          <w:b w:val="0"/>
          <w:sz w:val="24"/>
          <w:szCs w:val="24"/>
        </w:rPr>
        <w:t xml:space="preserve">Sugerimos ataviar a sus efectivos con el uniforme de los </w:t>
      </w:r>
      <w:r w:rsidRPr="00C83190">
        <w:rPr>
          <w:rFonts w:ascii="Arial" w:eastAsia="Times New Roman" w:hAnsi="Arial" w:cs="Arial"/>
          <w:sz w:val="24"/>
          <w:szCs w:val="24"/>
        </w:rPr>
        <w:t>Cazadores del Perú (1813)</w:t>
      </w:r>
      <w:r w:rsidRPr="00C83190">
        <w:rPr>
          <w:rFonts w:ascii="Arial" w:eastAsia="Times New Roman" w:hAnsi="Arial" w:cs="Arial"/>
          <w:b w:val="0"/>
          <w:sz w:val="24"/>
          <w:szCs w:val="24"/>
        </w:rPr>
        <w:t xml:space="preserve">; que también se pueden apreciar en la lámina elaborada por el </w:t>
      </w:r>
      <w:r w:rsidRPr="00C83190">
        <w:rPr>
          <w:rFonts w:ascii="Arial" w:eastAsia="Times New Roman" w:hAnsi="Arial" w:cs="Arial"/>
          <w:sz w:val="24"/>
          <w:szCs w:val="24"/>
        </w:rPr>
        <w:t>Dr.</w:t>
      </w:r>
      <w:r w:rsidRPr="00C83190">
        <w:rPr>
          <w:rFonts w:ascii="Arial" w:eastAsia="Times New Roman" w:hAnsi="Arial" w:cs="Arial"/>
          <w:b w:val="0"/>
          <w:sz w:val="24"/>
          <w:szCs w:val="24"/>
        </w:rPr>
        <w:t xml:space="preserve"> </w:t>
      </w:r>
      <w:r w:rsidRPr="00C83190">
        <w:rPr>
          <w:rFonts w:ascii="Arial" w:eastAsia="Times New Roman" w:hAnsi="Arial" w:cs="Arial"/>
          <w:sz w:val="24"/>
          <w:szCs w:val="24"/>
        </w:rPr>
        <w:t>Luqui-Lagleize</w:t>
      </w:r>
      <w:r w:rsidRPr="00C83190">
        <w:rPr>
          <w:rFonts w:ascii="Arial" w:eastAsia="Times New Roman" w:hAnsi="Arial" w:cs="Arial"/>
          <w:b w:val="0"/>
          <w:sz w:val="24"/>
          <w:szCs w:val="24"/>
        </w:rPr>
        <w:t>.</w:t>
      </w:r>
    </w:p>
    <w:p w14:paraId="217DA684" w14:textId="77777777" w:rsidR="00204F3C" w:rsidRPr="00C83190" w:rsidRDefault="00000000">
      <w:pPr>
        <w:jc w:val="both"/>
        <w:rPr>
          <w:rFonts w:ascii="Arial" w:eastAsia="Times New Roman" w:hAnsi="Arial" w:cs="Arial"/>
          <w:b w:val="0"/>
          <w:sz w:val="24"/>
          <w:szCs w:val="24"/>
        </w:rPr>
      </w:pPr>
      <w:r w:rsidRPr="00C83190">
        <w:rPr>
          <w:rFonts w:ascii="Arial" w:eastAsia="Times New Roman" w:hAnsi="Arial" w:cs="Arial"/>
          <w:b w:val="0"/>
          <w:sz w:val="24"/>
          <w:szCs w:val="24"/>
        </w:rPr>
        <w:t xml:space="preserve">El </w:t>
      </w:r>
      <w:r w:rsidRPr="00C83190">
        <w:rPr>
          <w:rFonts w:ascii="Arial" w:eastAsia="Times New Roman" w:hAnsi="Arial" w:cs="Arial"/>
          <w:sz w:val="24"/>
          <w:szCs w:val="24"/>
        </w:rPr>
        <w:t>Prof. Guillermo Horacio Brocchini</w:t>
      </w:r>
      <w:r w:rsidRPr="00C83190">
        <w:rPr>
          <w:rFonts w:ascii="Arial" w:eastAsia="Times New Roman" w:hAnsi="Arial" w:cs="Arial"/>
          <w:b w:val="0"/>
          <w:sz w:val="24"/>
          <w:szCs w:val="24"/>
        </w:rPr>
        <w:t xml:space="preserve"> aporta: vestían chaqueta (sin faldones) de color verde oscuro (al estilo de los “</w:t>
      </w:r>
      <w:r w:rsidRPr="00C83190">
        <w:rPr>
          <w:rFonts w:ascii="Arial" w:eastAsia="Times New Roman" w:hAnsi="Arial" w:cs="Arial"/>
          <w:i/>
          <w:sz w:val="24"/>
          <w:szCs w:val="24"/>
        </w:rPr>
        <w:t>Rifleros</w:t>
      </w:r>
      <w:r w:rsidRPr="00C83190">
        <w:rPr>
          <w:rFonts w:ascii="Arial" w:eastAsia="Times New Roman" w:hAnsi="Arial" w:cs="Arial"/>
          <w:b w:val="0"/>
          <w:sz w:val="24"/>
          <w:szCs w:val="24"/>
        </w:rPr>
        <w:t>” británicos. Es probable que los uniformes fueran rezagos comprados en Inglaterra), con vivos rojos y 9 botones al frente, sin más adornos. Por debajo de la chaqueta, asoma el chaleco blanco. Cinturón con soporte para bayoneta y cartuchera ventral (“</w:t>
      </w:r>
      <w:r w:rsidRPr="00C83190">
        <w:rPr>
          <w:rFonts w:ascii="Arial" w:eastAsia="Times New Roman" w:hAnsi="Arial" w:cs="Arial"/>
          <w:b w:val="0"/>
          <w:i/>
          <w:sz w:val="24"/>
          <w:szCs w:val="24"/>
        </w:rPr>
        <w:t>canana</w:t>
      </w:r>
      <w:r w:rsidRPr="00C83190">
        <w:rPr>
          <w:rFonts w:ascii="Arial" w:eastAsia="Times New Roman" w:hAnsi="Arial" w:cs="Arial"/>
          <w:b w:val="0"/>
          <w:sz w:val="24"/>
          <w:szCs w:val="24"/>
        </w:rPr>
        <w:t>”), El morrión era de estilo “</w:t>
      </w:r>
      <w:r w:rsidRPr="00C83190">
        <w:rPr>
          <w:rFonts w:ascii="Arial" w:eastAsia="Times New Roman" w:hAnsi="Arial" w:cs="Arial"/>
          <w:i/>
          <w:sz w:val="24"/>
          <w:szCs w:val="24"/>
        </w:rPr>
        <w:t>Stovepipe</w:t>
      </w:r>
      <w:r w:rsidRPr="00C83190">
        <w:rPr>
          <w:rFonts w:ascii="Arial" w:eastAsia="Times New Roman" w:hAnsi="Arial" w:cs="Arial"/>
          <w:b w:val="0"/>
          <w:sz w:val="24"/>
          <w:szCs w:val="24"/>
        </w:rPr>
        <w:t xml:space="preserve">” (Tronco- cónico, con la parte superior más pequeña) y sus únicos adornos eran un cuerno de caza (emblema de la especialidad) metálico y la escarapela (de cuero pintado) con centro celeste y borde blanco. Hay representaciones que los muestran con pantalones azules lisos (sin vivo ni franja) arremangados con botamanga sobre el botín y las polainas. </w:t>
      </w:r>
    </w:p>
    <w:p w14:paraId="6C69CEE5" w14:textId="77777777" w:rsidR="00204F3C" w:rsidRPr="00C83190" w:rsidRDefault="00000000">
      <w:pPr>
        <w:jc w:val="both"/>
        <w:rPr>
          <w:rFonts w:ascii="Arial" w:eastAsia="Times New Roman" w:hAnsi="Arial" w:cs="Arial"/>
          <w:b w:val="0"/>
          <w:sz w:val="24"/>
          <w:szCs w:val="24"/>
        </w:rPr>
      </w:pPr>
      <w:r w:rsidRPr="00C83190">
        <w:rPr>
          <w:rFonts w:ascii="Arial" w:eastAsia="Times New Roman" w:hAnsi="Arial" w:cs="Arial"/>
          <w:b w:val="0"/>
          <w:sz w:val="24"/>
          <w:szCs w:val="24"/>
        </w:rPr>
        <w:t>A continuación, vemos en detalle dibujos del Prof. Brocchini con el uniforme de los “</w:t>
      </w:r>
      <w:r w:rsidRPr="00C83190">
        <w:rPr>
          <w:rFonts w:ascii="Arial" w:eastAsia="Times New Roman" w:hAnsi="Arial" w:cs="Arial"/>
          <w:i/>
          <w:sz w:val="24"/>
          <w:szCs w:val="24"/>
        </w:rPr>
        <w:t>Cazadores</w:t>
      </w:r>
      <w:r w:rsidRPr="00C83190">
        <w:rPr>
          <w:rFonts w:ascii="Arial" w:eastAsia="Times New Roman" w:hAnsi="Arial" w:cs="Arial"/>
          <w:b w:val="0"/>
          <w:sz w:val="24"/>
          <w:szCs w:val="24"/>
        </w:rPr>
        <w:t>”:</w:t>
      </w:r>
    </w:p>
    <w:p w14:paraId="32332931" w14:textId="77777777" w:rsidR="00204F3C" w:rsidRDefault="00000000" w:rsidP="00CA5E7B">
      <w:pPr>
        <w:jc w:val="center"/>
        <w:rPr>
          <w:rFonts w:ascii="Times New Roman" w:eastAsia="Times New Roman" w:hAnsi="Times New Roman" w:cs="Times New Roman"/>
          <w:b w:val="0"/>
          <w:sz w:val="24"/>
          <w:szCs w:val="24"/>
        </w:rPr>
      </w:pPr>
      <w:r w:rsidRPr="00CA5E7B">
        <w:rPr>
          <w:rFonts w:asciiTheme="minorHAnsi" w:eastAsia="Times New Roman" w:hAnsiTheme="minorHAnsi" w:cstheme="minorHAnsi"/>
          <w:b w:val="0"/>
          <w:noProof/>
        </w:rPr>
        <w:lastRenderedPageBreak/>
        <w:drawing>
          <wp:inline distT="0" distB="0" distL="0" distR="0" wp14:anchorId="3F7EDDF2" wp14:editId="01155B25">
            <wp:extent cx="3369664" cy="2845758"/>
            <wp:effectExtent l="0" t="0" r="0" b="0"/>
            <wp:docPr id="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369664" cy="2845758"/>
                    </a:xfrm>
                    <a:prstGeom prst="rect">
                      <a:avLst/>
                    </a:prstGeom>
                    <a:ln/>
                  </pic:spPr>
                </pic:pic>
              </a:graphicData>
            </a:graphic>
          </wp:inline>
        </w:drawing>
      </w:r>
      <w:r w:rsidRPr="00CA5E7B">
        <w:rPr>
          <w:rFonts w:asciiTheme="minorHAnsi" w:eastAsia="Times New Roman" w:hAnsiTheme="minorHAnsi" w:cstheme="minorHAnsi"/>
          <w:b w:val="0"/>
          <w:noProof/>
        </w:rPr>
        <w:drawing>
          <wp:inline distT="0" distB="0" distL="0" distR="0" wp14:anchorId="2B563FD5" wp14:editId="26DB9A5C">
            <wp:extent cx="4148586" cy="3062517"/>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148586" cy="3062517"/>
                    </a:xfrm>
                    <a:prstGeom prst="rect">
                      <a:avLst/>
                    </a:prstGeom>
                    <a:ln/>
                  </pic:spPr>
                </pic:pic>
              </a:graphicData>
            </a:graphic>
          </wp:inline>
        </w:drawing>
      </w:r>
    </w:p>
    <w:p w14:paraId="6FC01C55" w14:textId="77777777" w:rsidR="00204F3C" w:rsidRDefault="0000000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En esta ilustración de </w:t>
      </w:r>
      <w:r>
        <w:rPr>
          <w:rFonts w:ascii="Times New Roman" w:eastAsia="Times New Roman" w:hAnsi="Times New Roman" w:cs="Times New Roman"/>
          <w:sz w:val="24"/>
          <w:szCs w:val="24"/>
        </w:rPr>
        <w:t>Fernando Daniel Pedrazzoli</w:t>
      </w:r>
      <w:r>
        <w:rPr>
          <w:rFonts w:ascii="Times New Roman" w:eastAsia="Times New Roman" w:hAnsi="Times New Roman" w:cs="Times New Roman"/>
          <w:b w:val="0"/>
          <w:sz w:val="24"/>
          <w:szCs w:val="24"/>
        </w:rPr>
        <w:t xml:space="preserve">, en su sitio web: </w:t>
      </w:r>
      <w:hyperlink r:id="rId16">
        <w:r>
          <w:rPr>
            <w:rFonts w:ascii="Times New Roman" w:eastAsia="Times New Roman" w:hAnsi="Times New Roman" w:cs="Times New Roman"/>
            <w:b w:val="0"/>
            <w:color w:val="1155CC"/>
            <w:sz w:val="24"/>
            <w:szCs w:val="24"/>
            <w:u w:val="single"/>
          </w:rPr>
          <w:t>https://www.regimientosdeamerica.com/uniformes/america/purp-caz-peru</w:t>
        </w:r>
      </w:hyperlink>
      <w:r>
        <w:rPr>
          <w:rFonts w:ascii="Times New Roman" w:eastAsia="Times New Roman" w:hAnsi="Times New Roman" w:cs="Times New Roman"/>
          <w:b w:val="0"/>
          <w:sz w:val="24"/>
          <w:szCs w:val="24"/>
        </w:rPr>
        <w:t xml:space="preserve"> permite apreciar mejor la uniformidad de los Cazadores:</w:t>
      </w:r>
    </w:p>
    <w:p w14:paraId="380BD96C" w14:textId="77777777" w:rsidR="00204F3C" w:rsidRDefault="00000000" w:rsidP="00CA5E7B">
      <w:pPr>
        <w:jc w:val="center"/>
        <w:rPr>
          <w:rFonts w:ascii="Times New Roman" w:eastAsia="Times New Roman" w:hAnsi="Times New Roman" w:cs="Times New Roman"/>
          <w:b w:val="0"/>
          <w:sz w:val="24"/>
          <w:szCs w:val="24"/>
        </w:rPr>
      </w:pPr>
      <w:r w:rsidRPr="00CA5E7B">
        <w:rPr>
          <w:rFonts w:asciiTheme="minorHAnsi" w:eastAsia="Times New Roman" w:hAnsiTheme="minorHAnsi" w:cstheme="minorHAnsi"/>
          <w:b w:val="0"/>
          <w:noProof/>
        </w:rPr>
        <w:lastRenderedPageBreak/>
        <w:drawing>
          <wp:inline distT="114300" distB="114300" distL="114300" distR="114300" wp14:anchorId="51BD8171" wp14:editId="6E1BAF37">
            <wp:extent cx="2809875" cy="45720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809875" cy="4572000"/>
                    </a:xfrm>
                    <a:prstGeom prst="rect">
                      <a:avLst/>
                    </a:prstGeom>
                    <a:ln/>
                  </pic:spPr>
                </pic:pic>
              </a:graphicData>
            </a:graphic>
          </wp:inline>
        </w:drawing>
      </w:r>
    </w:p>
    <w:p w14:paraId="39A0D77B" w14:textId="77777777" w:rsidR="00204F3C" w:rsidRDefault="00000000">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En este video de YouTube </w:t>
      </w:r>
      <w:r>
        <w:rPr>
          <w:rFonts w:ascii="Times New Roman" w:eastAsia="Times New Roman" w:hAnsi="Times New Roman" w:cs="Times New Roman"/>
          <w:sz w:val="24"/>
          <w:szCs w:val="24"/>
        </w:rPr>
        <w:t xml:space="preserve">Gabriel Pedrazzoli </w:t>
      </w:r>
      <w:r>
        <w:rPr>
          <w:rFonts w:ascii="Times New Roman" w:eastAsia="Times New Roman" w:hAnsi="Times New Roman" w:cs="Times New Roman"/>
          <w:b w:val="0"/>
          <w:sz w:val="24"/>
          <w:szCs w:val="24"/>
        </w:rPr>
        <w:t xml:space="preserve">explica didácticamente estos uniformes: </w:t>
      </w:r>
      <w:hyperlink r:id="rId18">
        <w:r>
          <w:rPr>
            <w:rFonts w:ascii="Times New Roman" w:eastAsia="Times New Roman" w:hAnsi="Times New Roman" w:cs="Times New Roman"/>
            <w:b w:val="0"/>
            <w:color w:val="1155CC"/>
            <w:sz w:val="24"/>
            <w:szCs w:val="24"/>
            <w:u w:val="single"/>
          </w:rPr>
          <w:t>https://www.youtube.com/watch?v=pNdL7BtWDq0&amp;t=2s</w:t>
        </w:r>
      </w:hyperlink>
    </w:p>
    <w:p w14:paraId="6A775BF4" w14:textId="77777777" w:rsidR="00204F3C" w:rsidRDefault="00000000">
      <w:pPr>
        <w:jc w:val="both"/>
        <w:rPr>
          <w:rFonts w:ascii="Times New Roman" w:eastAsia="Times New Roman" w:hAnsi="Times New Roman" w:cs="Times New Roman"/>
          <w:b w:val="0"/>
          <w:sz w:val="24"/>
          <w:szCs w:val="24"/>
        </w:rPr>
      </w:pPr>
      <w:r w:rsidRPr="00CA5E7B">
        <w:rPr>
          <w:rFonts w:asciiTheme="minorHAnsi" w:eastAsia="Times New Roman" w:hAnsiTheme="minorHAnsi" w:cstheme="minorHAnsi"/>
          <w:b w:val="0"/>
          <w:noProof/>
        </w:rPr>
        <w:lastRenderedPageBreak/>
        <w:drawing>
          <wp:inline distT="114300" distB="114300" distL="114300" distR="114300" wp14:anchorId="371DCD5D" wp14:editId="0D5C3058">
            <wp:extent cx="5399730" cy="3378200"/>
            <wp:effectExtent l="0" t="0" r="0" b="0"/>
            <wp:docPr id="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399730" cy="3378200"/>
                    </a:xfrm>
                    <a:prstGeom prst="rect">
                      <a:avLst/>
                    </a:prstGeom>
                    <a:ln/>
                  </pic:spPr>
                </pic:pic>
              </a:graphicData>
            </a:graphic>
          </wp:inline>
        </w:drawing>
      </w:r>
    </w:p>
    <w:p w14:paraId="000F8A6B" w14:textId="77777777" w:rsidR="00204F3C" w:rsidRDefault="00204F3C">
      <w:pPr>
        <w:rPr>
          <w:rFonts w:ascii="Times New Roman" w:eastAsia="Times New Roman" w:hAnsi="Times New Roman" w:cs="Times New Roman"/>
          <w:sz w:val="24"/>
          <w:szCs w:val="24"/>
        </w:rPr>
      </w:pPr>
    </w:p>
    <w:p w14:paraId="6F3DD820" w14:textId="77777777" w:rsidR="00204F3C" w:rsidRDefault="00204F3C">
      <w:pPr>
        <w:rPr>
          <w:rFonts w:ascii="Times New Roman" w:eastAsia="Times New Roman" w:hAnsi="Times New Roman" w:cs="Times New Roman"/>
          <w:sz w:val="24"/>
          <w:szCs w:val="24"/>
        </w:rPr>
      </w:pPr>
    </w:p>
    <w:p w14:paraId="329938BE" w14:textId="77777777" w:rsidR="00204F3C" w:rsidRPr="006A5913" w:rsidRDefault="00000000">
      <w:pPr>
        <w:jc w:val="center"/>
        <w:rPr>
          <w:rFonts w:ascii="Arial" w:eastAsia="Times New Roman" w:hAnsi="Arial" w:cs="Arial"/>
          <w:b w:val="0"/>
          <w:sz w:val="24"/>
          <w:szCs w:val="24"/>
          <w:u w:val="single"/>
        </w:rPr>
      </w:pPr>
      <w:r w:rsidRPr="006A5913">
        <w:rPr>
          <w:rFonts w:ascii="Arial" w:eastAsia="Times New Roman" w:hAnsi="Arial" w:cs="Arial"/>
          <w:sz w:val="24"/>
          <w:szCs w:val="24"/>
          <w:u w:val="single"/>
        </w:rPr>
        <w:t>Para la Casa de Gobierno</w:t>
      </w:r>
      <w:r w:rsidRPr="006A5913">
        <w:rPr>
          <w:rFonts w:ascii="Arial" w:eastAsia="Times New Roman" w:hAnsi="Arial" w:cs="Arial"/>
          <w:b w:val="0"/>
          <w:sz w:val="24"/>
          <w:szCs w:val="24"/>
          <w:u w:val="single"/>
        </w:rPr>
        <w:t>:</w:t>
      </w:r>
    </w:p>
    <w:p w14:paraId="3B228E8A" w14:textId="77777777" w:rsidR="00204F3C" w:rsidRPr="006A5913" w:rsidRDefault="00000000">
      <w:pPr>
        <w:jc w:val="both"/>
        <w:rPr>
          <w:rFonts w:ascii="Arial" w:eastAsia="Times New Roman" w:hAnsi="Arial" w:cs="Arial"/>
          <w:b w:val="0"/>
          <w:sz w:val="24"/>
          <w:szCs w:val="24"/>
        </w:rPr>
      </w:pPr>
      <w:r w:rsidRPr="006A5913">
        <w:rPr>
          <w:rFonts w:ascii="Arial" w:eastAsia="Times New Roman" w:hAnsi="Arial" w:cs="Arial"/>
          <w:b w:val="0"/>
          <w:sz w:val="24"/>
          <w:szCs w:val="24"/>
        </w:rPr>
        <w:t xml:space="preserve">Sugerimos ataviar a sus efectivos con el uniforme del </w:t>
      </w:r>
      <w:r w:rsidRPr="006A5913">
        <w:rPr>
          <w:rFonts w:ascii="Arial" w:eastAsia="Times New Roman" w:hAnsi="Arial" w:cs="Arial"/>
          <w:sz w:val="24"/>
          <w:szCs w:val="24"/>
        </w:rPr>
        <w:t>Batallón N° 5 de Infantería</w:t>
      </w:r>
      <w:r w:rsidRPr="006A5913">
        <w:rPr>
          <w:rFonts w:ascii="Arial" w:eastAsia="Times New Roman" w:hAnsi="Arial" w:cs="Arial"/>
          <w:b w:val="0"/>
          <w:sz w:val="24"/>
          <w:szCs w:val="24"/>
        </w:rPr>
        <w:t>.</w:t>
      </w:r>
    </w:p>
    <w:p w14:paraId="37C322D8"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b w:val="0"/>
          <w:sz w:val="24"/>
          <w:szCs w:val="24"/>
        </w:rPr>
        <w:t xml:space="preserve">El </w:t>
      </w:r>
      <w:r w:rsidRPr="006A5913">
        <w:rPr>
          <w:rFonts w:ascii="Arial" w:eastAsia="Times New Roman" w:hAnsi="Arial" w:cs="Arial"/>
          <w:sz w:val="24"/>
          <w:szCs w:val="24"/>
        </w:rPr>
        <w:t>Prof. Guillermo Horacio Brocchini</w:t>
      </w:r>
      <w:r w:rsidRPr="006A5913">
        <w:rPr>
          <w:rFonts w:ascii="Arial" w:eastAsia="Times New Roman" w:hAnsi="Arial" w:cs="Arial"/>
          <w:b w:val="0"/>
          <w:sz w:val="24"/>
          <w:szCs w:val="24"/>
        </w:rPr>
        <w:t xml:space="preserve"> aporta: </w:t>
      </w:r>
      <w:r w:rsidRPr="006A5913">
        <w:rPr>
          <w:rFonts w:ascii="Arial" w:eastAsia="Times New Roman" w:hAnsi="Arial" w:cs="Arial"/>
          <w:b w:val="0"/>
          <w:color w:val="222222"/>
          <w:sz w:val="24"/>
          <w:szCs w:val="24"/>
          <w:highlight w:val="white"/>
        </w:rPr>
        <w:t xml:space="preserve">El número 5 se le dió a un batallón del </w:t>
      </w:r>
      <w:r w:rsidRPr="006A5913">
        <w:rPr>
          <w:rFonts w:ascii="Arial" w:eastAsia="Times New Roman" w:hAnsi="Arial" w:cs="Arial"/>
          <w:color w:val="222222"/>
          <w:sz w:val="24"/>
          <w:szCs w:val="24"/>
          <w:highlight w:val="white"/>
        </w:rPr>
        <w:t>Regimiento de Patricios</w:t>
      </w:r>
      <w:r w:rsidRPr="006A5913">
        <w:rPr>
          <w:rFonts w:ascii="Arial" w:eastAsia="Times New Roman" w:hAnsi="Arial" w:cs="Arial"/>
          <w:b w:val="0"/>
          <w:color w:val="222222"/>
          <w:sz w:val="24"/>
          <w:szCs w:val="24"/>
          <w:highlight w:val="white"/>
        </w:rPr>
        <w:t xml:space="preserve"> después del </w:t>
      </w:r>
      <w:r w:rsidRPr="006A5913">
        <w:rPr>
          <w:rFonts w:ascii="Arial" w:eastAsia="Times New Roman" w:hAnsi="Arial" w:cs="Arial"/>
          <w:i/>
          <w:color w:val="222222"/>
          <w:sz w:val="24"/>
          <w:szCs w:val="24"/>
          <w:highlight w:val="white"/>
        </w:rPr>
        <w:t>Motín de las Trenzas</w:t>
      </w:r>
      <w:r w:rsidRPr="006A5913">
        <w:rPr>
          <w:rFonts w:ascii="Arial" w:eastAsia="Times New Roman" w:hAnsi="Arial" w:cs="Arial"/>
          <w:b w:val="0"/>
          <w:color w:val="222222"/>
          <w:sz w:val="24"/>
          <w:szCs w:val="24"/>
          <w:highlight w:val="white"/>
        </w:rPr>
        <w:t xml:space="preserve">. Como castigo, el </w:t>
      </w:r>
      <w:r w:rsidRPr="006A5913">
        <w:rPr>
          <w:rFonts w:ascii="Arial" w:eastAsia="Times New Roman" w:hAnsi="Arial" w:cs="Arial"/>
          <w:color w:val="222222"/>
          <w:sz w:val="24"/>
          <w:szCs w:val="24"/>
          <w:highlight w:val="white"/>
        </w:rPr>
        <w:t>Primer Triunvirato</w:t>
      </w:r>
      <w:r w:rsidRPr="006A5913">
        <w:rPr>
          <w:rFonts w:ascii="Arial" w:eastAsia="Times New Roman" w:hAnsi="Arial" w:cs="Arial"/>
          <w:b w:val="0"/>
          <w:color w:val="222222"/>
          <w:sz w:val="24"/>
          <w:szCs w:val="24"/>
          <w:highlight w:val="white"/>
        </w:rPr>
        <w:t xml:space="preserve"> les quitó el N° 1 que orgullosamente portaban desde las I</w:t>
      </w:r>
      <w:r w:rsidRPr="006A5913">
        <w:rPr>
          <w:rFonts w:ascii="Arial" w:eastAsia="Times New Roman" w:hAnsi="Arial" w:cs="Arial"/>
          <w:color w:val="222222"/>
          <w:sz w:val="24"/>
          <w:szCs w:val="24"/>
          <w:highlight w:val="white"/>
        </w:rPr>
        <w:t>nvasiones Inglesas</w:t>
      </w:r>
      <w:r w:rsidRPr="006A5913">
        <w:rPr>
          <w:rFonts w:ascii="Arial" w:eastAsia="Times New Roman" w:hAnsi="Arial" w:cs="Arial"/>
          <w:b w:val="0"/>
          <w:color w:val="222222"/>
          <w:sz w:val="24"/>
          <w:szCs w:val="24"/>
          <w:highlight w:val="white"/>
        </w:rPr>
        <w:t>.</w:t>
      </w:r>
    </w:p>
    <w:p w14:paraId="541C82B9"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color w:val="222222"/>
          <w:sz w:val="24"/>
          <w:szCs w:val="24"/>
          <w:highlight w:val="white"/>
        </w:rPr>
        <w:t>Daniel Pedrazzoli</w:t>
      </w:r>
      <w:r w:rsidRPr="006A5913">
        <w:rPr>
          <w:rFonts w:ascii="Arial" w:eastAsia="Times New Roman" w:hAnsi="Arial" w:cs="Arial"/>
          <w:b w:val="0"/>
          <w:color w:val="222222"/>
          <w:sz w:val="24"/>
          <w:szCs w:val="24"/>
          <w:highlight w:val="white"/>
        </w:rPr>
        <w:t xml:space="preserve"> explica que el 29 de Mayo de 1810 la </w:t>
      </w:r>
      <w:r w:rsidRPr="006A5913">
        <w:rPr>
          <w:rFonts w:ascii="Arial" w:eastAsia="Times New Roman" w:hAnsi="Arial" w:cs="Arial"/>
          <w:color w:val="222222"/>
          <w:sz w:val="24"/>
          <w:szCs w:val="24"/>
          <w:highlight w:val="white"/>
        </w:rPr>
        <w:t>Primera Junta de Gobierno Patrio</w:t>
      </w:r>
      <w:r w:rsidRPr="006A5913">
        <w:rPr>
          <w:rFonts w:ascii="Arial" w:eastAsia="Times New Roman" w:hAnsi="Arial" w:cs="Arial"/>
          <w:b w:val="0"/>
          <w:color w:val="222222"/>
          <w:sz w:val="24"/>
          <w:szCs w:val="24"/>
          <w:highlight w:val="white"/>
        </w:rPr>
        <w:t xml:space="preserve"> reorganizó las fuerzas militares existentes en Buenos Aires y también aprobó lo que se conoció como: “</w:t>
      </w:r>
      <w:r w:rsidRPr="006A5913">
        <w:rPr>
          <w:rFonts w:ascii="Arial" w:eastAsia="Times New Roman" w:hAnsi="Arial" w:cs="Arial"/>
          <w:i/>
          <w:color w:val="222222"/>
          <w:sz w:val="24"/>
          <w:szCs w:val="24"/>
          <w:highlight w:val="white"/>
        </w:rPr>
        <w:t>Uniforme General de Infantería</w:t>
      </w:r>
      <w:r w:rsidRPr="006A5913">
        <w:rPr>
          <w:rFonts w:ascii="Arial" w:eastAsia="Times New Roman" w:hAnsi="Arial" w:cs="Arial"/>
          <w:b w:val="0"/>
          <w:color w:val="222222"/>
          <w:sz w:val="24"/>
          <w:szCs w:val="24"/>
          <w:highlight w:val="white"/>
        </w:rPr>
        <w:t xml:space="preserve">” para todas las unidades, imponiéndoles el mismo atuendo, que luce en este retrato el </w:t>
      </w:r>
      <w:r w:rsidRPr="006A5913">
        <w:rPr>
          <w:rFonts w:ascii="Arial" w:eastAsia="Times New Roman" w:hAnsi="Arial" w:cs="Arial"/>
          <w:color w:val="222222"/>
          <w:sz w:val="24"/>
          <w:szCs w:val="24"/>
          <w:highlight w:val="white"/>
        </w:rPr>
        <w:t>Gral. Francisco Antonio Ortiz de Ocampo</w:t>
      </w:r>
      <w:r w:rsidRPr="006A5913">
        <w:rPr>
          <w:rFonts w:ascii="Arial" w:eastAsia="Times New Roman" w:hAnsi="Arial" w:cs="Arial"/>
          <w:b w:val="0"/>
          <w:color w:val="222222"/>
          <w:sz w:val="24"/>
          <w:szCs w:val="24"/>
          <w:highlight w:val="white"/>
        </w:rPr>
        <w:t xml:space="preserve">, pintado en </w:t>
      </w:r>
      <w:r w:rsidRPr="006A5913">
        <w:rPr>
          <w:rFonts w:ascii="Arial" w:eastAsia="Times New Roman" w:hAnsi="Arial" w:cs="Arial"/>
          <w:color w:val="222222"/>
          <w:sz w:val="24"/>
          <w:szCs w:val="24"/>
          <w:highlight w:val="white"/>
        </w:rPr>
        <w:t xml:space="preserve">Chuquisaca </w:t>
      </w:r>
      <w:r w:rsidRPr="006A5913">
        <w:rPr>
          <w:rFonts w:ascii="Arial" w:eastAsia="Times New Roman" w:hAnsi="Arial" w:cs="Arial"/>
          <w:b w:val="0"/>
          <w:color w:val="222222"/>
          <w:sz w:val="24"/>
          <w:szCs w:val="24"/>
          <w:highlight w:val="white"/>
        </w:rPr>
        <w:t xml:space="preserve">durante el </w:t>
      </w:r>
      <w:r w:rsidRPr="006A5913">
        <w:rPr>
          <w:rFonts w:ascii="Arial" w:eastAsia="Times New Roman" w:hAnsi="Arial" w:cs="Arial"/>
          <w:b w:val="0"/>
          <w:color w:val="222222"/>
          <w:sz w:val="24"/>
          <w:szCs w:val="24"/>
          <w:highlight w:val="white"/>
        </w:rPr>
        <w:lastRenderedPageBreak/>
        <w:t xml:space="preserve">año 1813, cuando el mismo se desempeñaba como </w:t>
      </w:r>
      <w:r w:rsidRPr="006A5913">
        <w:rPr>
          <w:rFonts w:ascii="Arial" w:eastAsia="Times New Roman" w:hAnsi="Arial" w:cs="Arial"/>
          <w:color w:val="222222"/>
          <w:sz w:val="24"/>
          <w:szCs w:val="24"/>
          <w:highlight w:val="white"/>
        </w:rPr>
        <w:t>Presidente de la Audiencia de Charcas</w:t>
      </w:r>
      <w:r w:rsidRPr="006A5913">
        <w:rPr>
          <w:rFonts w:ascii="Arial" w:eastAsia="Times New Roman" w:hAnsi="Arial" w:cs="Arial"/>
          <w:b w:val="0"/>
          <w:color w:val="222222"/>
          <w:sz w:val="24"/>
          <w:szCs w:val="24"/>
          <w:highlight w:val="white"/>
        </w:rPr>
        <w:t xml:space="preserve">: </w:t>
      </w:r>
    </w:p>
    <w:p w14:paraId="64CFCD45" w14:textId="77777777" w:rsidR="00204F3C" w:rsidRDefault="00000000" w:rsidP="006A5913">
      <w:pPr>
        <w:jc w:val="center"/>
        <w:rPr>
          <w:rFonts w:ascii="Times New Roman" w:eastAsia="Times New Roman" w:hAnsi="Times New Roman" w:cs="Times New Roman"/>
          <w:b w:val="0"/>
          <w:color w:val="222222"/>
          <w:sz w:val="24"/>
          <w:szCs w:val="24"/>
          <w:highlight w:val="white"/>
        </w:rPr>
      </w:pPr>
      <w:r w:rsidRPr="00CA5E7B">
        <w:rPr>
          <w:rFonts w:asciiTheme="minorHAnsi" w:eastAsia="Times New Roman" w:hAnsiTheme="minorHAnsi" w:cstheme="minorHAnsi"/>
          <w:b w:val="0"/>
          <w:noProof/>
          <w:color w:val="222222"/>
          <w:highlight w:val="white"/>
        </w:rPr>
        <w:drawing>
          <wp:inline distT="114300" distB="114300" distL="114300" distR="114300" wp14:anchorId="24B7655B" wp14:editId="78EC266E">
            <wp:extent cx="4457700" cy="57150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457965" cy="5715340"/>
                    </a:xfrm>
                    <a:prstGeom prst="rect">
                      <a:avLst/>
                    </a:prstGeom>
                    <a:ln/>
                  </pic:spPr>
                </pic:pic>
              </a:graphicData>
            </a:graphic>
          </wp:inline>
        </w:drawing>
      </w:r>
    </w:p>
    <w:p w14:paraId="1302B6A5"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b w:val="0"/>
          <w:color w:val="222222"/>
          <w:sz w:val="24"/>
          <w:szCs w:val="24"/>
          <w:highlight w:val="white"/>
        </w:rPr>
        <w:t>Llevaban casaca azul con faldones largos, con solapas, cuellos y vueltas encarnadas o “</w:t>
      </w:r>
      <w:r w:rsidRPr="006A5913">
        <w:rPr>
          <w:rFonts w:ascii="Arial" w:eastAsia="Times New Roman" w:hAnsi="Arial" w:cs="Arial"/>
          <w:i/>
          <w:color w:val="222222"/>
          <w:sz w:val="24"/>
          <w:szCs w:val="24"/>
          <w:highlight w:val="white"/>
        </w:rPr>
        <w:t>de color grana</w:t>
      </w:r>
      <w:r w:rsidRPr="006A5913">
        <w:rPr>
          <w:rFonts w:ascii="Arial" w:eastAsia="Times New Roman" w:hAnsi="Arial" w:cs="Arial"/>
          <w:b w:val="0"/>
          <w:color w:val="222222"/>
          <w:sz w:val="24"/>
          <w:szCs w:val="24"/>
          <w:highlight w:val="white"/>
        </w:rPr>
        <w:t>”, como se llamaba en la época. Las vueltas de los faldones también eran de paño grana y “</w:t>
      </w:r>
      <w:r w:rsidRPr="006A5913">
        <w:rPr>
          <w:rFonts w:ascii="Arial" w:eastAsia="Times New Roman" w:hAnsi="Arial" w:cs="Arial"/>
          <w:i/>
          <w:color w:val="222222"/>
          <w:sz w:val="24"/>
          <w:szCs w:val="24"/>
          <w:highlight w:val="white"/>
        </w:rPr>
        <w:t>eran particularmente vistosos</w:t>
      </w:r>
      <w:r w:rsidRPr="006A5913">
        <w:rPr>
          <w:rFonts w:ascii="Arial" w:eastAsia="Times New Roman" w:hAnsi="Arial" w:cs="Arial"/>
          <w:b w:val="0"/>
          <w:color w:val="222222"/>
          <w:sz w:val="24"/>
          <w:szCs w:val="24"/>
          <w:highlight w:val="white"/>
        </w:rPr>
        <w:t xml:space="preserve">”. </w:t>
      </w:r>
      <w:r w:rsidRPr="006A5913">
        <w:rPr>
          <w:rFonts w:ascii="Arial" w:eastAsia="Times New Roman" w:hAnsi="Arial" w:cs="Arial"/>
          <w:b w:val="0"/>
          <w:color w:val="222222"/>
          <w:sz w:val="24"/>
          <w:szCs w:val="24"/>
          <w:highlight w:val="white"/>
        </w:rPr>
        <w:lastRenderedPageBreak/>
        <w:t xml:space="preserve">Los bolsillos podrían haber sido de corte horizontal. El cuello, vueltas, solapas y las carteras de los bolsillos estaban adornados con vivos blancos. Los botones eran siete de cada lado, de metal dorado. </w:t>
      </w:r>
    </w:p>
    <w:p w14:paraId="6A25A4F7"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b w:val="0"/>
          <w:color w:val="222222"/>
          <w:sz w:val="24"/>
          <w:szCs w:val="24"/>
          <w:highlight w:val="white"/>
        </w:rPr>
        <w:t xml:space="preserve">En el retrato del </w:t>
      </w:r>
      <w:r w:rsidRPr="006A5913">
        <w:rPr>
          <w:rFonts w:ascii="Arial" w:eastAsia="Times New Roman" w:hAnsi="Arial" w:cs="Arial"/>
          <w:color w:val="222222"/>
          <w:sz w:val="24"/>
          <w:szCs w:val="24"/>
          <w:highlight w:val="white"/>
        </w:rPr>
        <w:t>Gral. Francisco Antonio Ortiz de Ocampo</w:t>
      </w:r>
      <w:r w:rsidRPr="006A5913">
        <w:rPr>
          <w:rFonts w:ascii="Arial" w:eastAsia="Times New Roman" w:hAnsi="Arial" w:cs="Arial"/>
          <w:b w:val="0"/>
          <w:color w:val="222222"/>
          <w:sz w:val="24"/>
          <w:szCs w:val="24"/>
          <w:highlight w:val="white"/>
        </w:rPr>
        <w:t xml:space="preserve"> se puede apreciar que los cuellos rojos iban adornados con un sol con cara humana dorado.</w:t>
      </w:r>
    </w:p>
    <w:p w14:paraId="41368D71" w14:textId="77777777" w:rsidR="00204F3C" w:rsidRDefault="00000000">
      <w:pPr>
        <w:jc w:val="both"/>
        <w:rPr>
          <w:rFonts w:ascii="Times New Roman" w:eastAsia="Times New Roman" w:hAnsi="Times New Roman" w:cs="Times New Roman"/>
          <w:b w:val="0"/>
          <w:color w:val="222222"/>
          <w:sz w:val="24"/>
          <w:szCs w:val="24"/>
          <w:highlight w:val="white"/>
        </w:rPr>
      </w:pPr>
      <w:r w:rsidRPr="00CA5E7B">
        <w:rPr>
          <w:rFonts w:asciiTheme="minorHAnsi" w:eastAsia="Times New Roman" w:hAnsiTheme="minorHAnsi" w:cstheme="minorHAnsi"/>
          <w:b w:val="0"/>
          <w:noProof/>
          <w:color w:val="222222"/>
          <w:highlight w:val="white"/>
        </w:rPr>
        <w:drawing>
          <wp:inline distT="114300" distB="114300" distL="114300" distR="114300" wp14:anchorId="722B173F" wp14:editId="7A27CD49">
            <wp:extent cx="5399730" cy="337820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399730" cy="3378200"/>
                    </a:xfrm>
                    <a:prstGeom prst="rect">
                      <a:avLst/>
                    </a:prstGeom>
                    <a:ln/>
                  </pic:spPr>
                </pic:pic>
              </a:graphicData>
            </a:graphic>
          </wp:inline>
        </w:drawing>
      </w:r>
    </w:p>
    <w:p w14:paraId="64DD0F9A" w14:textId="77777777" w:rsidR="00204F3C" w:rsidRDefault="00000000">
      <w:pPr>
        <w:jc w:val="both"/>
        <w:rPr>
          <w:rFonts w:ascii="Times New Roman" w:eastAsia="Times New Roman" w:hAnsi="Times New Roman" w:cs="Times New Roman"/>
          <w:b w:val="0"/>
          <w:color w:val="222222"/>
          <w:sz w:val="24"/>
          <w:szCs w:val="24"/>
          <w:highlight w:val="white"/>
        </w:rPr>
      </w:pPr>
      <w:r w:rsidRPr="00CA5E7B">
        <w:rPr>
          <w:rFonts w:asciiTheme="minorHAnsi" w:eastAsia="Times New Roman" w:hAnsiTheme="minorHAnsi" w:cstheme="minorHAnsi"/>
          <w:b w:val="0"/>
          <w:noProof/>
          <w:color w:val="222222"/>
          <w:highlight w:val="white"/>
        </w:rPr>
        <w:lastRenderedPageBreak/>
        <w:drawing>
          <wp:inline distT="114300" distB="114300" distL="114300" distR="114300" wp14:anchorId="63FB5E08" wp14:editId="3D534421">
            <wp:extent cx="5399730" cy="3378200"/>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399730" cy="3378200"/>
                    </a:xfrm>
                    <a:prstGeom prst="rect">
                      <a:avLst/>
                    </a:prstGeom>
                    <a:ln/>
                  </pic:spPr>
                </pic:pic>
              </a:graphicData>
            </a:graphic>
          </wp:inline>
        </w:drawing>
      </w:r>
    </w:p>
    <w:p w14:paraId="0FAC61D6" w14:textId="77777777" w:rsidR="00204F3C" w:rsidRDefault="00000000">
      <w:pPr>
        <w:jc w:val="both"/>
        <w:rPr>
          <w:rFonts w:ascii="Times New Roman" w:eastAsia="Times New Roman" w:hAnsi="Times New Roman" w:cs="Times New Roman"/>
          <w:b w:val="0"/>
          <w:color w:val="222222"/>
          <w:sz w:val="24"/>
          <w:szCs w:val="24"/>
          <w:highlight w:val="white"/>
        </w:rPr>
      </w:pPr>
      <w:r w:rsidRPr="00CA5E7B">
        <w:rPr>
          <w:rFonts w:asciiTheme="minorHAnsi" w:eastAsia="Times New Roman" w:hAnsiTheme="minorHAnsi" w:cstheme="minorHAnsi"/>
          <w:b w:val="0"/>
          <w:noProof/>
          <w:color w:val="222222"/>
          <w:highlight w:val="white"/>
        </w:rPr>
        <w:drawing>
          <wp:inline distT="114300" distB="114300" distL="114300" distR="114300" wp14:anchorId="3E697D0E" wp14:editId="6FEF5E78">
            <wp:extent cx="5399730" cy="3378200"/>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399730" cy="3378200"/>
                    </a:xfrm>
                    <a:prstGeom prst="rect">
                      <a:avLst/>
                    </a:prstGeom>
                    <a:ln/>
                  </pic:spPr>
                </pic:pic>
              </a:graphicData>
            </a:graphic>
          </wp:inline>
        </w:drawing>
      </w:r>
    </w:p>
    <w:p w14:paraId="63320EE1"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b w:val="0"/>
          <w:color w:val="222222"/>
          <w:sz w:val="24"/>
          <w:szCs w:val="24"/>
          <w:highlight w:val="white"/>
        </w:rPr>
        <w:lastRenderedPageBreak/>
        <w:t>Arriba puede apreciarse el “</w:t>
      </w:r>
      <w:r w:rsidRPr="006A5913">
        <w:rPr>
          <w:rFonts w:ascii="Arial" w:eastAsia="Times New Roman" w:hAnsi="Arial" w:cs="Arial"/>
          <w:i/>
          <w:color w:val="222222"/>
          <w:sz w:val="24"/>
          <w:szCs w:val="24"/>
          <w:highlight w:val="white"/>
        </w:rPr>
        <w:t>Uniforme General de Infantería</w:t>
      </w:r>
      <w:r w:rsidRPr="006A5913">
        <w:rPr>
          <w:rFonts w:ascii="Arial" w:eastAsia="Times New Roman" w:hAnsi="Arial" w:cs="Arial"/>
          <w:b w:val="0"/>
          <w:color w:val="222222"/>
          <w:sz w:val="24"/>
          <w:szCs w:val="24"/>
          <w:highlight w:val="white"/>
        </w:rPr>
        <w:t xml:space="preserve">” según las disposiciones del 29 de Mayo de 1810, en ilustraciones realizadas por </w:t>
      </w:r>
      <w:r w:rsidRPr="006A5913">
        <w:rPr>
          <w:rFonts w:ascii="Arial" w:eastAsia="Times New Roman" w:hAnsi="Arial" w:cs="Arial"/>
          <w:color w:val="222222"/>
          <w:sz w:val="24"/>
          <w:szCs w:val="24"/>
          <w:highlight w:val="white"/>
        </w:rPr>
        <w:t>Gabriel Pedrozzoli</w:t>
      </w:r>
      <w:r w:rsidRPr="006A5913">
        <w:rPr>
          <w:rFonts w:ascii="Arial" w:eastAsia="Times New Roman" w:hAnsi="Arial" w:cs="Arial"/>
          <w:b w:val="0"/>
          <w:color w:val="222222"/>
          <w:sz w:val="24"/>
          <w:szCs w:val="24"/>
          <w:highlight w:val="white"/>
        </w:rPr>
        <w:t xml:space="preserve">, en este video que puede apreciarse en: </w:t>
      </w:r>
      <w:hyperlink r:id="rId24">
        <w:r w:rsidRPr="006A5913">
          <w:rPr>
            <w:rFonts w:ascii="Arial" w:eastAsia="Arial" w:hAnsi="Arial" w:cs="Arial"/>
            <w:b w:val="0"/>
            <w:color w:val="1155CC"/>
            <w:sz w:val="24"/>
            <w:szCs w:val="24"/>
            <w:highlight w:val="white"/>
            <w:u w:val="single"/>
          </w:rPr>
          <w:t>https://youtu.be/_KNzXjeAZVA</w:t>
        </w:r>
      </w:hyperlink>
    </w:p>
    <w:p w14:paraId="1271BA2A"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b w:val="0"/>
          <w:color w:val="222222"/>
          <w:sz w:val="24"/>
          <w:szCs w:val="24"/>
          <w:highlight w:val="white"/>
        </w:rPr>
        <w:t xml:space="preserve">El </w:t>
      </w:r>
      <w:r w:rsidRPr="006A5913">
        <w:rPr>
          <w:rFonts w:ascii="Arial" w:eastAsia="Times New Roman" w:hAnsi="Arial" w:cs="Arial"/>
          <w:color w:val="222222"/>
          <w:sz w:val="24"/>
          <w:szCs w:val="24"/>
          <w:highlight w:val="white"/>
        </w:rPr>
        <w:t>Prof. Guillermo Brocchini</w:t>
      </w:r>
      <w:r w:rsidRPr="006A5913">
        <w:rPr>
          <w:rFonts w:ascii="Arial" w:eastAsia="Times New Roman" w:hAnsi="Arial" w:cs="Arial"/>
          <w:b w:val="0"/>
          <w:color w:val="222222"/>
          <w:sz w:val="24"/>
          <w:szCs w:val="24"/>
          <w:highlight w:val="white"/>
        </w:rPr>
        <w:t xml:space="preserve"> aporta: el uniforme se complementaba con chaleco blanco y pantalón blanco en verano y azul en invierno. Morrión de suela con escarapela y placa con el número del regimiento de bronce. Había diferencias entre las compañías de fusileros (penacho y cordones blancos), Granaderos (con morrión de pelo, ojales y sardinetas de puños blancos; con cordones, flama y penachos encarnados) y cazadores (morrión con cordones verdes)</w:t>
      </w:r>
    </w:p>
    <w:p w14:paraId="2FFF8A5E" w14:textId="77777777" w:rsidR="00204F3C" w:rsidRPr="006A5913" w:rsidRDefault="00000000">
      <w:pPr>
        <w:jc w:val="both"/>
        <w:rPr>
          <w:rFonts w:ascii="Arial" w:eastAsia="Times New Roman" w:hAnsi="Arial" w:cs="Arial"/>
          <w:b w:val="0"/>
          <w:color w:val="222222"/>
          <w:sz w:val="24"/>
          <w:szCs w:val="24"/>
          <w:highlight w:val="white"/>
        </w:rPr>
      </w:pPr>
      <w:r w:rsidRPr="006A5913">
        <w:rPr>
          <w:rFonts w:ascii="Arial" w:eastAsia="Times New Roman" w:hAnsi="Arial" w:cs="Arial"/>
          <w:b w:val="0"/>
          <w:color w:val="222222"/>
          <w:sz w:val="24"/>
          <w:szCs w:val="24"/>
          <w:highlight w:val="white"/>
        </w:rPr>
        <w:t>La escarapela era blanca con centro celeste (generalmente de cuero pintado) y los penachos o plumeros con el color de las compañías.</w:t>
      </w:r>
    </w:p>
    <w:p w14:paraId="796BF8F5" w14:textId="77777777" w:rsidR="00204F3C" w:rsidRDefault="00000000" w:rsidP="00AF7281">
      <w:pPr>
        <w:jc w:val="center"/>
        <w:rPr>
          <w:rFonts w:ascii="Times New Roman" w:eastAsia="Times New Roman" w:hAnsi="Times New Roman" w:cs="Times New Roman"/>
          <w:b w:val="0"/>
          <w:color w:val="222222"/>
          <w:sz w:val="24"/>
          <w:szCs w:val="24"/>
          <w:highlight w:val="white"/>
        </w:rPr>
      </w:pPr>
      <w:r w:rsidRPr="00CA5E7B">
        <w:rPr>
          <w:rFonts w:asciiTheme="minorHAnsi" w:eastAsia="Times New Roman" w:hAnsiTheme="minorHAnsi" w:cstheme="minorHAnsi"/>
          <w:b w:val="0"/>
          <w:noProof/>
          <w:color w:val="222222"/>
          <w:highlight w:val="white"/>
        </w:rPr>
        <w:drawing>
          <wp:inline distT="114300" distB="114300" distL="114300" distR="114300" wp14:anchorId="4D08205F" wp14:editId="267E26D9">
            <wp:extent cx="3048000" cy="2528570"/>
            <wp:effectExtent l="0" t="0" r="0" b="508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3092895" cy="2565814"/>
                    </a:xfrm>
                    <a:prstGeom prst="rect">
                      <a:avLst/>
                    </a:prstGeom>
                    <a:ln/>
                  </pic:spPr>
                </pic:pic>
              </a:graphicData>
            </a:graphic>
          </wp:inline>
        </w:drawing>
      </w:r>
    </w:p>
    <w:p w14:paraId="054D99D2" w14:textId="77777777" w:rsidR="00204F3C" w:rsidRPr="00AF7281" w:rsidRDefault="00000000">
      <w:pPr>
        <w:jc w:val="both"/>
        <w:rPr>
          <w:rFonts w:ascii="Arial" w:eastAsia="Times New Roman" w:hAnsi="Arial" w:cs="Arial"/>
          <w:b w:val="0"/>
          <w:color w:val="222222"/>
          <w:sz w:val="24"/>
          <w:szCs w:val="24"/>
          <w:highlight w:val="white"/>
        </w:rPr>
      </w:pPr>
      <w:r w:rsidRPr="00AF7281">
        <w:rPr>
          <w:rFonts w:ascii="Arial" w:eastAsia="Times New Roman" w:hAnsi="Arial" w:cs="Arial"/>
          <w:b w:val="0"/>
          <w:color w:val="222222"/>
          <w:sz w:val="24"/>
          <w:szCs w:val="24"/>
          <w:highlight w:val="white"/>
        </w:rPr>
        <w:t>Cuando nos referimos a "</w:t>
      </w:r>
      <w:r w:rsidRPr="00AF7281">
        <w:rPr>
          <w:rFonts w:ascii="Arial" w:eastAsia="Times New Roman" w:hAnsi="Arial" w:cs="Arial"/>
          <w:i/>
          <w:color w:val="222222"/>
          <w:sz w:val="24"/>
          <w:szCs w:val="24"/>
          <w:highlight w:val="white"/>
        </w:rPr>
        <w:t>chaqueta</w:t>
      </w:r>
      <w:r w:rsidRPr="00AF7281">
        <w:rPr>
          <w:rFonts w:ascii="Arial" w:eastAsia="Times New Roman" w:hAnsi="Arial" w:cs="Arial"/>
          <w:b w:val="0"/>
          <w:color w:val="222222"/>
          <w:sz w:val="24"/>
          <w:szCs w:val="24"/>
          <w:highlight w:val="white"/>
        </w:rPr>
        <w:t>" aludimos a la prenda sin faldones y "</w:t>
      </w:r>
      <w:r w:rsidRPr="00AF7281">
        <w:rPr>
          <w:rFonts w:ascii="Arial" w:eastAsia="Times New Roman" w:hAnsi="Arial" w:cs="Arial"/>
          <w:i/>
          <w:color w:val="222222"/>
          <w:sz w:val="24"/>
          <w:szCs w:val="24"/>
          <w:highlight w:val="white"/>
        </w:rPr>
        <w:t>casaca</w:t>
      </w:r>
      <w:r w:rsidRPr="00AF7281">
        <w:rPr>
          <w:rFonts w:ascii="Arial" w:eastAsia="Times New Roman" w:hAnsi="Arial" w:cs="Arial"/>
          <w:b w:val="0"/>
          <w:color w:val="222222"/>
          <w:sz w:val="24"/>
          <w:szCs w:val="24"/>
          <w:highlight w:val="white"/>
        </w:rPr>
        <w:t>" lleva faldones estilo frac.</w:t>
      </w:r>
    </w:p>
    <w:p w14:paraId="0D12CC28" w14:textId="77777777" w:rsidR="00204F3C" w:rsidRPr="00AF7281" w:rsidRDefault="00000000">
      <w:pPr>
        <w:jc w:val="both"/>
        <w:rPr>
          <w:rFonts w:ascii="Arial" w:eastAsia="Times New Roman" w:hAnsi="Arial" w:cs="Arial"/>
          <w:b w:val="0"/>
          <w:color w:val="222222"/>
          <w:sz w:val="24"/>
          <w:szCs w:val="24"/>
          <w:highlight w:val="white"/>
        </w:rPr>
      </w:pPr>
      <w:r w:rsidRPr="00AF7281">
        <w:rPr>
          <w:rFonts w:ascii="Arial" w:eastAsia="Times New Roman" w:hAnsi="Arial" w:cs="Arial"/>
          <w:b w:val="0"/>
          <w:color w:val="222222"/>
          <w:sz w:val="24"/>
          <w:szCs w:val="24"/>
          <w:highlight w:val="white"/>
        </w:rPr>
        <w:t xml:space="preserve">El uniforme completo reglamentario del </w:t>
      </w:r>
      <w:r w:rsidRPr="00AF7281">
        <w:rPr>
          <w:rFonts w:ascii="Arial" w:eastAsia="Times New Roman" w:hAnsi="Arial" w:cs="Arial"/>
          <w:color w:val="222222"/>
          <w:sz w:val="24"/>
          <w:szCs w:val="24"/>
          <w:highlight w:val="white"/>
        </w:rPr>
        <w:t>Batallón Nº 5</w:t>
      </w:r>
      <w:r w:rsidRPr="00AF7281">
        <w:rPr>
          <w:rFonts w:ascii="Arial" w:eastAsia="Times New Roman" w:hAnsi="Arial" w:cs="Arial"/>
          <w:b w:val="0"/>
          <w:color w:val="222222"/>
          <w:sz w:val="24"/>
          <w:szCs w:val="24"/>
          <w:highlight w:val="white"/>
        </w:rPr>
        <w:t xml:space="preserve"> de Infantería de Línea, para la época de la </w:t>
      </w:r>
      <w:r w:rsidRPr="00AF7281">
        <w:rPr>
          <w:rFonts w:ascii="Arial" w:eastAsia="Times New Roman" w:hAnsi="Arial" w:cs="Arial"/>
          <w:color w:val="222222"/>
          <w:sz w:val="24"/>
          <w:szCs w:val="24"/>
          <w:highlight w:val="white"/>
        </w:rPr>
        <w:t>Batalla de Tucumán</w:t>
      </w:r>
      <w:r w:rsidRPr="00AF7281">
        <w:rPr>
          <w:rFonts w:ascii="Arial" w:eastAsia="Times New Roman" w:hAnsi="Arial" w:cs="Arial"/>
          <w:b w:val="0"/>
          <w:color w:val="222222"/>
          <w:sz w:val="24"/>
          <w:szCs w:val="24"/>
          <w:highlight w:val="white"/>
        </w:rPr>
        <w:t xml:space="preserve"> (24 de Septiembre de 1812) luciría, en consecuencia, de esta manera, en otra ilustración de </w:t>
      </w:r>
      <w:r w:rsidRPr="00AF7281">
        <w:rPr>
          <w:rFonts w:ascii="Arial" w:eastAsia="Times New Roman" w:hAnsi="Arial" w:cs="Arial"/>
          <w:color w:val="222222"/>
          <w:sz w:val="24"/>
          <w:szCs w:val="24"/>
          <w:highlight w:val="white"/>
        </w:rPr>
        <w:t>Gabriel Pedrozzoli</w:t>
      </w:r>
      <w:r w:rsidRPr="00AF7281">
        <w:rPr>
          <w:rFonts w:ascii="Arial" w:eastAsia="Times New Roman" w:hAnsi="Arial" w:cs="Arial"/>
          <w:b w:val="0"/>
          <w:color w:val="222222"/>
          <w:sz w:val="24"/>
          <w:szCs w:val="24"/>
          <w:highlight w:val="white"/>
        </w:rPr>
        <w:t xml:space="preserve">, basada en los trabajos de investigación del </w:t>
      </w:r>
      <w:r w:rsidRPr="00AF7281">
        <w:rPr>
          <w:rFonts w:ascii="Arial" w:eastAsia="Times New Roman" w:hAnsi="Arial" w:cs="Arial"/>
          <w:color w:val="222222"/>
          <w:sz w:val="24"/>
          <w:szCs w:val="24"/>
          <w:highlight w:val="white"/>
        </w:rPr>
        <w:t>Dr. Julio Luqui Lagleyze</w:t>
      </w:r>
      <w:r w:rsidRPr="00AF7281">
        <w:rPr>
          <w:rFonts w:ascii="Arial" w:eastAsia="Times New Roman" w:hAnsi="Arial" w:cs="Arial"/>
          <w:b w:val="0"/>
          <w:color w:val="222222"/>
          <w:sz w:val="24"/>
          <w:szCs w:val="24"/>
          <w:highlight w:val="white"/>
        </w:rPr>
        <w:t>.</w:t>
      </w:r>
    </w:p>
    <w:p w14:paraId="252EDD38" w14:textId="77777777" w:rsidR="00204F3C" w:rsidRDefault="00000000">
      <w:pPr>
        <w:jc w:val="both"/>
        <w:rPr>
          <w:rFonts w:ascii="Times New Roman" w:eastAsia="Times New Roman" w:hAnsi="Times New Roman" w:cs="Times New Roman"/>
          <w:b w:val="0"/>
          <w:color w:val="222222"/>
          <w:sz w:val="24"/>
          <w:szCs w:val="24"/>
          <w:highlight w:val="white"/>
        </w:rPr>
      </w:pPr>
      <w:r w:rsidRPr="00CA5E7B">
        <w:rPr>
          <w:rFonts w:asciiTheme="minorHAnsi" w:eastAsia="Times New Roman" w:hAnsiTheme="minorHAnsi" w:cstheme="minorHAnsi"/>
          <w:b w:val="0"/>
          <w:noProof/>
          <w:color w:val="222222"/>
          <w:highlight w:val="white"/>
        </w:rPr>
        <w:lastRenderedPageBreak/>
        <w:drawing>
          <wp:inline distT="114300" distB="114300" distL="114300" distR="114300" wp14:anchorId="5624D61F" wp14:editId="5E3750BB">
            <wp:extent cx="5399730" cy="3124200"/>
            <wp:effectExtent l="0" t="0" r="0" b="0"/>
            <wp:docPr id="2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6"/>
                    <a:srcRect/>
                    <a:stretch>
                      <a:fillRect/>
                    </a:stretch>
                  </pic:blipFill>
                  <pic:spPr>
                    <a:xfrm>
                      <a:off x="0" y="0"/>
                      <a:ext cx="5399730" cy="3124200"/>
                    </a:xfrm>
                    <a:prstGeom prst="rect">
                      <a:avLst/>
                    </a:prstGeom>
                    <a:ln/>
                  </pic:spPr>
                </pic:pic>
              </a:graphicData>
            </a:graphic>
          </wp:inline>
        </w:drawing>
      </w:r>
    </w:p>
    <w:p w14:paraId="11E97A26" w14:textId="77777777" w:rsidR="00204F3C" w:rsidRPr="00AF7281" w:rsidRDefault="00000000">
      <w:pPr>
        <w:jc w:val="both"/>
        <w:rPr>
          <w:rFonts w:ascii="Arial" w:eastAsia="Times New Roman" w:hAnsi="Arial" w:cs="Arial"/>
          <w:b w:val="0"/>
          <w:sz w:val="24"/>
          <w:szCs w:val="24"/>
        </w:rPr>
      </w:pPr>
      <w:r w:rsidRPr="00AF7281">
        <w:rPr>
          <w:rFonts w:ascii="Arial" w:eastAsia="Times New Roman" w:hAnsi="Arial" w:cs="Arial"/>
          <w:b w:val="0"/>
          <w:sz w:val="24"/>
          <w:szCs w:val="24"/>
        </w:rPr>
        <w:t xml:space="preserve">Más detalles al respecto pueden apreciarse en este video elaborado por el mismo autor: </w:t>
      </w:r>
      <w:hyperlink r:id="rId27">
        <w:r w:rsidRPr="00AF7281">
          <w:rPr>
            <w:rFonts w:ascii="Arial" w:eastAsia="Times New Roman" w:hAnsi="Arial" w:cs="Arial"/>
            <w:b w:val="0"/>
            <w:color w:val="1155CC"/>
            <w:sz w:val="24"/>
            <w:szCs w:val="24"/>
            <w:u w:val="single"/>
          </w:rPr>
          <w:t>https://www.youtube.com/watch?v=mSNN5qwgAek</w:t>
        </w:r>
      </w:hyperlink>
    </w:p>
    <w:p w14:paraId="44FFBE40" w14:textId="77777777" w:rsidR="00204F3C" w:rsidRPr="00AF7281" w:rsidRDefault="00000000">
      <w:pPr>
        <w:jc w:val="both"/>
        <w:rPr>
          <w:rFonts w:ascii="Arial" w:eastAsia="Times New Roman" w:hAnsi="Arial" w:cs="Arial"/>
          <w:b w:val="0"/>
          <w:sz w:val="24"/>
          <w:szCs w:val="24"/>
        </w:rPr>
      </w:pPr>
      <w:r w:rsidRPr="00AF7281">
        <w:rPr>
          <w:rFonts w:ascii="Arial" w:eastAsia="Times New Roman" w:hAnsi="Arial" w:cs="Arial"/>
          <w:b w:val="0"/>
          <w:sz w:val="24"/>
          <w:szCs w:val="24"/>
        </w:rPr>
        <w:t>Todas las unidades deben llevar botas negras hasta debajo de la rodilla.</w:t>
      </w:r>
    </w:p>
    <w:p w14:paraId="22326ACE" w14:textId="77777777" w:rsidR="00204F3C" w:rsidRPr="00AF7281" w:rsidRDefault="00000000">
      <w:pPr>
        <w:jc w:val="both"/>
        <w:rPr>
          <w:rFonts w:ascii="Arial" w:eastAsia="Times New Roman" w:hAnsi="Arial" w:cs="Arial"/>
          <w:b w:val="0"/>
          <w:sz w:val="24"/>
          <w:szCs w:val="24"/>
        </w:rPr>
      </w:pPr>
      <w:r w:rsidRPr="00AF7281">
        <w:rPr>
          <w:rFonts w:ascii="Arial" w:eastAsia="Times New Roman" w:hAnsi="Arial" w:cs="Arial"/>
          <w:b w:val="0"/>
          <w:sz w:val="24"/>
          <w:szCs w:val="24"/>
        </w:rPr>
        <w:t xml:space="preserve">Como aporte especial a la uniformidad general de todos los cuerpos, el </w:t>
      </w:r>
      <w:r w:rsidRPr="00AF7281">
        <w:rPr>
          <w:rFonts w:ascii="Arial" w:eastAsia="Times New Roman" w:hAnsi="Arial" w:cs="Arial"/>
          <w:sz w:val="24"/>
          <w:szCs w:val="24"/>
        </w:rPr>
        <w:t>Prof. Guillermo Horacio Brocchini</w:t>
      </w:r>
      <w:r w:rsidRPr="00AF7281">
        <w:rPr>
          <w:rFonts w:ascii="Arial" w:eastAsia="Times New Roman" w:hAnsi="Arial" w:cs="Arial"/>
          <w:b w:val="0"/>
          <w:sz w:val="24"/>
          <w:szCs w:val="24"/>
        </w:rPr>
        <w:t xml:space="preserve"> efectúa la siguiente propuesta de emblema general: El escudo de paño “</w:t>
      </w:r>
      <w:r w:rsidRPr="00AF7281">
        <w:rPr>
          <w:rFonts w:ascii="Arial" w:eastAsia="Times New Roman" w:hAnsi="Arial" w:cs="Arial"/>
          <w:i/>
          <w:sz w:val="24"/>
          <w:szCs w:val="24"/>
        </w:rPr>
        <w:t>La Patria a su defensor en Tucumán</w:t>
      </w:r>
      <w:r w:rsidRPr="00AF7281">
        <w:rPr>
          <w:rFonts w:ascii="Arial" w:eastAsia="Times New Roman" w:hAnsi="Arial" w:cs="Arial"/>
          <w:b w:val="0"/>
          <w:sz w:val="24"/>
          <w:szCs w:val="24"/>
        </w:rPr>
        <w:t>”, el que debe ser llevado en el antebrazo izquierdo, justo sobre la punta de las bocamangas.</w:t>
      </w:r>
    </w:p>
    <w:p w14:paraId="0338143E" w14:textId="77777777" w:rsidR="00204F3C" w:rsidRPr="00AF7281" w:rsidRDefault="00000000">
      <w:pPr>
        <w:jc w:val="both"/>
        <w:rPr>
          <w:rFonts w:ascii="Arial" w:eastAsia="Times New Roman" w:hAnsi="Arial" w:cs="Arial"/>
          <w:b w:val="0"/>
          <w:sz w:val="24"/>
          <w:szCs w:val="24"/>
        </w:rPr>
      </w:pPr>
      <w:r w:rsidRPr="00AF7281">
        <w:rPr>
          <w:rFonts w:ascii="Arial" w:eastAsia="Times New Roman" w:hAnsi="Arial" w:cs="Arial"/>
          <w:sz w:val="24"/>
          <w:szCs w:val="24"/>
        </w:rPr>
        <w:t>Fernando Daniel Pedrazzoli</w:t>
      </w:r>
      <w:r w:rsidRPr="00AF7281">
        <w:rPr>
          <w:rFonts w:ascii="Arial" w:eastAsia="Times New Roman" w:hAnsi="Arial" w:cs="Arial"/>
          <w:b w:val="0"/>
          <w:sz w:val="24"/>
          <w:szCs w:val="24"/>
        </w:rPr>
        <w:t xml:space="preserve"> elabora artesanalmente tales emblemas.</w:t>
      </w:r>
    </w:p>
    <w:p w14:paraId="196D32DE" w14:textId="77777777" w:rsidR="00204F3C" w:rsidRDefault="00000000" w:rsidP="00CA5E7B">
      <w:pPr>
        <w:ind w:left="360"/>
        <w:jc w:val="center"/>
      </w:pPr>
      <w:r>
        <w:rPr>
          <w:rFonts w:ascii="Times New Roman" w:eastAsia="Times New Roman" w:hAnsi="Times New Roman" w:cs="Times New Roman"/>
          <w:b w:val="0"/>
          <w:sz w:val="24"/>
          <w:szCs w:val="24"/>
        </w:rPr>
        <w:lastRenderedPageBreak/>
        <w:t>:</w:t>
      </w:r>
      <w:r>
        <w:t xml:space="preserve"> </w:t>
      </w:r>
      <w:r>
        <w:rPr>
          <w:noProof/>
        </w:rPr>
        <w:drawing>
          <wp:inline distT="0" distB="0" distL="0" distR="0" wp14:anchorId="0B20FE3D" wp14:editId="0BC617A5">
            <wp:extent cx="1771650" cy="2343150"/>
            <wp:effectExtent l="0" t="0" r="0" b="0"/>
            <wp:docPr id="35" name="image7.jpg" descr="https://upload.wikimedia.org/wikipedia/commons/2/20/Tucuman_w.jpg"/>
            <wp:cNvGraphicFramePr/>
            <a:graphic xmlns:a="http://schemas.openxmlformats.org/drawingml/2006/main">
              <a:graphicData uri="http://schemas.openxmlformats.org/drawingml/2006/picture">
                <pic:pic xmlns:pic="http://schemas.openxmlformats.org/drawingml/2006/picture">
                  <pic:nvPicPr>
                    <pic:cNvPr id="0" name="image7.jpg" descr="https://upload.wikimedia.org/wikipedia/commons/2/20/Tucuman_w.jpg"/>
                    <pic:cNvPicPr preferRelativeResize="0"/>
                  </pic:nvPicPr>
                  <pic:blipFill>
                    <a:blip r:embed="rId28"/>
                    <a:srcRect/>
                    <a:stretch>
                      <a:fillRect/>
                    </a:stretch>
                  </pic:blipFill>
                  <pic:spPr>
                    <a:xfrm>
                      <a:off x="0" y="0"/>
                      <a:ext cx="1771650" cy="2343150"/>
                    </a:xfrm>
                    <a:prstGeom prst="rect">
                      <a:avLst/>
                    </a:prstGeom>
                    <a:ln/>
                  </pic:spPr>
                </pic:pic>
              </a:graphicData>
            </a:graphic>
          </wp:inline>
        </w:drawing>
      </w:r>
      <w:r>
        <w:t xml:space="preserve">     </w:t>
      </w:r>
      <w:r>
        <w:rPr>
          <w:noProof/>
        </w:rPr>
        <w:drawing>
          <wp:inline distT="0" distB="0" distL="0" distR="0" wp14:anchorId="4985D23C" wp14:editId="2DDF119A">
            <wp:extent cx="1924050" cy="3216113"/>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1924050" cy="3216113"/>
                    </a:xfrm>
                    <a:prstGeom prst="rect">
                      <a:avLst/>
                    </a:prstGeom>
                    <a:ln/>
                  </pic:spPr>
                </pic:pic>
              </a:graphicData>
            </a:graphic>
          </wp:inline>
        </w:drawing>
      </w:r>
    </w:p>
    <w:p w14:paraId="0D4525CD" w14:textId="77777777" w:rsidR="00204F3C" w:rsidRDefault="00204F3C">
      <w:pPr>
        <w:ind w:left="360"/>
      </w:pPr>
    </w:p>
    <w:p w14:paraId="30C7E7F7" w14:textId="77777777" w:rsidR="00204F3C" w:rsidRPr="00AF7281" w:rsidRDefault="00000000">
      <w:pPr>
        <w:ind w:left="360"/>
        <w:jc w:val="both"/>
        <w:rPr>
          <w:rFonts w:ascii="Arial" w:eastAsia="Times New Roman" w:hAnsi="Arial" w:cs="Arial"/>
          <w:b w:val="0"/>
          <w:sz w:val="24"/>
          <w:szCs w:val="24"/>
        </w:rPr>
      </w:pPr>
      <w:r w:rsidRPr="00AF7281">
        <w:rPr>
          <w:rFonts w:ascii="Arial" w:eastAsia="Times New Roman" w:hAnsi="Arial" w:cs="Arial"/>
          <w:sz w:val="24"/>
          <w:szCs w:val="24"/>
          <w:u w:val="single"/>
        </w:rPr>
        <w:t>Divisas de grado</w:t>
      </w:r>
      <w:r w:rsidRPr="00AF7281">
        <w:rPr>
          <w:rFonts w:ascii="Arial" w:eastAsia="Times New Roman" w:hAnsi="Arial" w:cs="Arial"/>
          <w:b w:val="0"/>
          <w:sz w:val="24"/>
          <w:szCs w:val="24"/>
        </w:rPr>
        <w:t xml:space="preserve">: Por recomendación del </w:t>
      </w:r>
      <w:r w:rsidRPr="00AF7281">
        <w:rPr>
          <w:rFonts w:ascii="Arial" w:eastAsia="Times New Roman" w:hAnsi="Arial" w:cs="Arial"/>
          <w:sz w:val="24"/>
          <w:szCs w:val="24"/>
        </w:rPr>
        <w:t>Prof. Guillermo Horacio Brocchini</w:t>
      </w:r>
      <w:r w:rsidRPr="00AF7281">
        <w:rPr>
          <w:rFonts w:ascii="Arial" w:eastAsia="Times New Roman" w:hAnsi="Arial" w:cs="Arial"/>
          <w:b w:val="0"/>
          <w:sz w:val="24"/>
          <w:szCs w:val="24"/>
        </w:rPr>
        <w:t xml:space="preserve">, se sugieren utilizar las prescriptas por el </w:t>
      </w:r>
      <w:r w:rsidRPr="00AF7281">
        <w:rPr>
          <w:rFonts w:ascii="Arial" w:eastAsia="Times New Roman" w:hAnsi="Arial" w:cs="Arial"/>
          <w:sz w:val="24"/>
          <w:szCs w:val="24"/>
        </w:rPr>
        <w:t>Reglamento de la Asamblea de 1813</w:t>
      </w:r>
      <w:r w:rsidRPr="00AF7281">
        <w:rPr>
          <w:rFonts w:ascii="Arial" w:eastAsia="Times New Roman" w:hAnsi="Arial" w:cs="Arial"/>
          <w:b w:val="0"/>
          <w:sz w:val="24"/>
          <w:szCs w:val="24"/>
        </w:rPr>
        <w:t>, a saber:</w:t>
      </w:r>
    </w:p>
    <w:p w14:paraId="001AB4F1" w14:textId="77777777" w:rsidR="00204F3C" w:rsidRPr="00AF7281" w:rsidRDefault="00000000">
      <w:pPr>
        <w:ind w:left="360"/>
        <w:rPr>
          <w:rFonts w:ascii="Arial" w:eastAsia="Times New Roman" w:hAnsi="Arial" w:cs="Arial"/>
          <w:b w:val="0"/>
          <w:sz w:val="24"/>
          <w:szCs w:val="24"/>
        </w:rPr>
      </w:pPr>
      <w:r w:rsidRPr="00AF7281">
        <w:rPr>
          <w:rFonts w:ascii="Arial" w:eastAsia="Times New Roman" w:hAnsi="Arial" w:cs="Arial"/>
          <w:sz w:val="24"/>
          <w:szCs w:val="24"/>
          <w:u w:val="single"/>
        </w:rPr>
        <w:t>Cabo y Cabo 1°</w:t>
      </w:r>
      <w:r w:rsidRPr="00AF7281">
        <w:rPr>
          <w:rFonts w:ascii="Arial" w:eastAsia="Times New Roman" w:hAnsi="Arial" w:cs="Arial"/>
          <w:b w:val="0"/>
          <w:sz w:val="24"/>
          <w:szCs w:val="24"/>
        </w:rPr>
        <w:t>: Uno o dos galones en la manga del color del vivo:</w:t>
      </w:r>
    </w:p>
    <w:p w14:paraId="1B9C3C99" w14:textId="77777777" w:rsidR="00204F3C" w:rsidRDefault="00000000" w:rsidP="00AF7281">
      <w:pPr>
        <w:ind w:left="360"/>
        <w:jc w:val="center"/>
      </w:pPr>
      <w:r>
        <w:rPr>
          <w:noProof/>
        </w:rPr>
        <w:drawing>
          <wp:inline distT="0" distB="0" distL="0" distR="0" wp14:anchorId="61B31790" wp14:editId="2E9BC841">
            <wp:extent cx="2152650" cy="1795925"/>
            <wp:effectExtent l="0" t="0" r="0" b="0"/>
            <wp:docPr id="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2152650" cy="1795925"/>
                    </a:xfrm>
                    <a:prstGeom prst="rect">
                      <a:avLst/>
                    </a:prstGeom>
                    <a:ln/>
                  </pic:spPr>
                </pic:pic>
              </a:graphicData>
            </a:graphic>
          </wp:inline>
        </w:drawing>
      </w:r>
    </w:p>
    <w:p w14:paraId="53CD7227" w14:textId="77777777" w:rsidR="00204F3C" w:rsidRDefault="00204F3C">
      <w:pPr>
        <w:ind w:left="360"/>
      </w:pPr>
    </w:p>
    <w:p w14:paraId="0BA12FB7" w14:textId="77777777" w:rsidR="00204F3C" w:rsidRPr="00AF7281" w:rsidRDefault="00000000">
      <w:pPr>
        <w:ind w:left="360"/>
        <w:jc w:val="both"/>
        <w:rPr>
          <w:rFonts w:ascii="Arial" w:eastAsia="Times New Roman" w:hAnsi="Arial" w:cs="Arial"/>
          <w:b w:val="0"/>
          <w:sz w:val="24"/>
          <w:szCs w:val="24"/>
        </w:rPr>
      </w:pPr>
      <w:r w:rsidRPr="00AF7281">
        <w:rPr>
          <w:rFonts w:ascii="Arial" w:eastAsia="Times New Roman" w:hAnsi="Arial" w:cs="Arial"/>
          <w:sz w:val="24"/>
          <w:szCs w:val="24"/>
          <w:u w:val="single"/>
        </w:rPr>
        <w:lastRenderedPageBreak/>
        <w:t>Sargento</w:t>
      </w:r>
      <w:r w:rsidRPr="00AF7281">
        <w:rPr>
          <w:rFonts w:ascii="Arial" w:eastAsia="Times New Roman" w:hAnsi="Arial" w:cs="Arial"/>
          <w:b w:val="0"/>
          <w:sz w:val="24"/>
          <w:szCs w:val="24"/>
        </w:rPr>
        <w:t>: Un cheurón amarillo y charreteras de lana roja. Rojo y oro para el Sargento 1°. Se pueden agregar cheurones para los Sargentos Ayudantes, Suboficiales Principales y Suboficiales Mayores (grados que no existían en 1813).</w:t>
      </w:r>
    </w:p>
    <w:p w14:paraId="41B04863" w14:textId="640966E7" w:rsidR="00204F3C" w:rsidRDefault="00000000">
      <w:pPr>
        <w:ind w:left="360"/>
      </w:pPr>
      <w:r>
        <w:rPr>
          <w:noProof/>
        </w:rPr>
        <w:drawing>
          <wp:inline distT="0" distB="0" distL="0" distR="0" wp14:anchorId="295E3065" wp14:editId="1D7350CF">
            <wp:extent cx="1990725" cy="2675037"/>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1990725" cy="2675037"/>
                    </a:xfrm>
                    <a:prstGeom prst="rect">
                      <a:avLst/>
                    </a:prstGeom>
                    <a:ln/>
                  </pic:spPr>
                </pic:pic>
              </a:graphicData>
            </a:graphic>
          </wp:inline>
        </w:drawing>
      </w:r>
      <w:r>
        <w:rPr>
          <w:noProof/>
        </w:rPr>
        <w:drawing>
          <wp:inline distT="0" distB="0" distL="0" distR="0" wp14:anchorId="6BEFDEED" wp14:editId="6C48201B">
            <wp:extent cx="2390546" cy="2409825"/>
            <wp:effectExtent l="0" t="0" r="0" b="0"/>
            <wp:docPr id="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2390546" cy="2409825"/>
                    </a:xfrm>
                    <a:prstGeom prst="rect">
                      <a:avLst/>
                    </a:prstGeom>
                    <a:ln/>
                  </pic:spPr>
                </pic:pic>
              </a:graphicData>
            </a:graphic>
          </wp:inline>
        </w:drawing>
      </w:r>
    </w:p>
    <w:p w14:paraId="57BDA24E" w14:textId="77777777" w:rsidR="00AF7281" w:rsidRDefault="00AF7281">
      <w:pPr>
        <w:ind w:left="360"/>
      </w:pPr>
    </w:p>
    <w:p w14:paraId="59EC6489" w14:textId="77777777" w:rsidR="00AF7281" w:rsidRDefault="00000000" w:rsidP="00AF7281">
      <w:pPr>
        <w:ind w:left="360"/>
        <w:jc w:val="both"/>
        <w:rPr>
          <w:rFonts w:ascii="Times New Roman" w:eastAsia="Times New Roman" w:hAnsi="Times New Roman" w:cs="Times New Roman"/>
          <w:b w:val="0"/>
          <w:sz w:val="24"/>
          <w:szCs w:val="24"/>
        </w:rPr>
      </w:pPr>
      <w:r w:rsidRPr="00AF7281">
        <w:rPr>
          <w:rFonts w:ascii="Arial" w:eastAsia="Times New Roman" w:hAnsi="Arial" w:cs="Arial"/>
          <w:sz w:val="24"/>
          <w:szCs w:val="24"/>
          <w:u w:val="single"/>
        </w:rPr>
        <w:t>Oficiales subalternos</w:t>
      </w:r>
      <w:r w:rsidRPr="00AF7281">
        <w:rPr>
          <w:rFonts w:ascii="Arial" w:eastAsia="Times New Roman" w:hAnsi="Arial" w:cs="Arial"/>
          <w:b w:val="0"/>
          <w:sz w:val="24"/>
          <w:szCs w:val="24"/>
        </w:rPr>
        <w:t xml:space="preserve">: Galones dentro de las dos bocamangas, dorados o plateados según el color del botón del uniforme: uno para el subteniente, </w:t>
      </w:r>
      <w:r w:rsidR="00AF7281">
        <w:rPr>
          <w:rFonts w:ascii="Arial" w:eastAsia="Times New Roman" w:hAnsi="Arial" w:cs="Arial"/>
          <w:b w:val="0"/>
          <w:sz w:val="24"/>
          <w:szCs w:val="24"/>
        </w:rPr>
        <w:t>d</w:t>
      </w:r>
      <w:r w:rsidRPr="00AF7281">
        <w:rPr>
          <w:rFonts w:ascii="Arial" w:eastAsia="Times New Roman" w:hAnsi="Arial" w:cs="Arial"/>
          <w:b w:val="0"/>
          <w:sz w:val="24"/>
          <w:szCs w:val="24"/>
        </w:rPr>
        <w:t>os para el teniente (no existía el grado de Teniente 1°) y tres para los capitanes. Sin</w:t>
      </w:r>
      <w:r w:rsidR="00AF7281">
        <w:rPr>
          <w:rFonts w:ascii="Arial" w:eastAsia="Times New Roman" w:hAnsi="Arial" w:cs="Arial"/>
          <w:b w:val="0"/>
          <w:sz w:val="24"/>
          <w:szCs w:val="24"/>
        </w:rPr>
        <w:t xml:space="preserve"> </w:t>
      </w:r>
      <w:r w:rsidRPr="00AF7281">
        <w:rPr>
          <w:rFonts w:ascii="Arial" w:eastAsia="Times New Roman" w:hAnsi="Arial" w:cs="Arial"/>
          <w:b w:val="0"/>
          <w:sz w:val="24"/>
          <w:szCs w:val="24"/>
        </w:rPr>
        <w:t>charreteras</w:t>
      </w:r>
      <w:r>
        <w:rPr>
          <w:rFonts w:ascii="Times New Roman" w:eastAsia="Times New Roman" w:hAnsi="Times New Roman" w:cs="Times New Roman"/>
          <w:b w:val="0"/>
          <w:sz w:val="24"/>
          <w:szCs w:val="24"/>
        </w:rPr>
        <w:t>.</w:t>
      </w:r>
    </w:p>
    <w:p w14:paraId="22D5CDB1" w14:textId="317275E8" w:rsidR="00204F3C" w:rsidRDefault="00AF7281" w:rsidP="00AF7281">
      <w:pPr>
        <w:ind w:left="360"/>
        <w:jc w:val="center"/>
      </w:pPr>
      <w:r>
        <w:rPr>
          <w:noProof/>
        </w:rPr>
        <w:drawing>
          <wp:inline distT="0" distB="0" distL="0" distR="0" wp14:anchorId="66229373" wp14:editId="5D94A84D">
            <wp:extent cx="3136900" cy="2000250"/>
            <wp:effectExtent l="0" t="0" r="6350" b="0"/>
            <wp:docPr id="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3140244" cy="2002382"/>
                    </a:xfrm>
                    <a:prstGeom prst="rect">
                      <a:avLst/>
                    </a:prstGeom>
                    <a:ln/>
                  </pic:spPr>
                </pic:pic>
              </a:graphicData>
            </a:graphic>
          </wp:inline>
        </w:drawing>
      </w:r>
    </w:p>
    <w:p w14:paraId="7F40BCF7" w14:textId="77777777" w:rsidR="00204F3C" w:rsidRPr="00AF7281" w:rsidRDefault="00000000">
      <w:pPr>
        <w:ind w:left="360"/>
        <w:jc w:val="both"/>
        <w:rPr>
          <w:rFonts w:ascii="Arial" w:eastAsia="Times New Roman" w:hAnsi="Arial" w:cs="Arial"/>
          <w:b w:val="0"/>
          <w:sz w:val="24"/>
          <w:szCs w:val="24"/>
        </w:rPr>
      </w:pPr>
      <w:r w:rsidRPr="00AF7281">
        <w:rPr>
          <w:rFonts w:ascii="Arial" w:eastAsia="Times New Roman" w:hAnsi="Arial" w:cs="Arial"/>
          <w:sz w:val="24"/>
          <w:szCs w:val="24"/>
          <w:u w:val="single"/>
        </w:rPr>
        <w:lastRenderedPageBreak/>
        <w:t>Mayor (Sargento Mayor en 1813) y Teniente Coronel</w:t>
      </w:r>
      <w:r w:rsidRPr="00AF7281">
        <w:rPr>
          <w:rFonts w:ascii="Arial" w:eastAsia="Times New Roman" w:hAnsi="Arial" w:cs="Arial"/>
          <w:sz w:val="24"/>
          <w:szCs w:val="24"/>
        </w:rPr>
        <w:t xml:space="preserve">: </w:t>
      </w:r>
      <w:r w:rsidRPr="00AF7281">
        <w:rPr>
          <w:rFonts w:ascii="Arial" w:eastAsia="Times New Roman" w:hAnsi="Arial" w:cs="Arial"/>
          <w:b w:val="0"/>
          <w:sz w:val="24"/>
          <w:szCs w:val="24"/>
        </w:rPr>
        <w:t xml:space="preserve">Charreteras de gusanillo metálico según el color del botón del uniforme (Dorado o plateado): Pala de color diferente para el Sargento Mayor, y del mismo color para el equivalente al Teniente Coronel.  </w:t>
      </w:r>
    </w:p>
    <w:p w14:paraId="719E3C60" w14:textId="77777777" w:rsidR="00204F3C" w:rsidRPr="00AF7281" w:rsidRDefault="00000000">
      <w:pPr>
        <w:ind w:left="360"/>
        <w:jc w:val="both"/>
        <w:rPr>
          <w:rFonts w:ascii="Arial" w:eastAsia="Times New Roman" w:hAnsi="Arial" w:cs="Arial"/>
          <w:b w:val="0"/>
          <w:color w:val="000000"/>
          <w:sz w:val="24"/>
          <w:szCs w:val="24"/>
          <w:highlight w:val="black"/>
        </w:rPr>
      </w:pPr>
      <w:r w:rsidRPr="00AF7281">
        <w:rPr>
          <w:rFonts w:ascii="Arial" w:eastAsia="Times New Roman" w:hAnsi="Arial" w:cs="Arial"/>
          <w:sz w:val="24"/>
          <w:szCs w:val="24"/>
          <w:u w:val="single"/>
        </w:rPr>
        <w:t>Coroneles y Generales</w:t>
      </w:r>
      <w:r w:rsidRPr="00AF7281">
        <w:rPr>
          <w:rFonts w:ascii="Arial" w:eastAsia="Times New Roman" w:hAnsi="Arial" w:cs="Arial"/>
          <w:b w:val="0"/>
          <w:sz w:val="24"/>
          <w:szCs w:val="24"/>
        </w:rPr>
        <w:t>: llevaban el mismo diseño de charretera, y agregaban otros adornos los generales (bordado de laureles en el cuello y la bocamanga).</w:t>
      </w:r>
      <w:r w:rsidRPr="00AF7281">
        <w:rPr>
          <w:rFonts w:ascii="Arial" w:eastAsia="Times New Roman" w:hAnsi="Arial" w:cs="Arial"/>
          <w:b w:val="0"/>
          <w:color w:val="000000"/>
          <w:sz w:val="24"/>
          <w:szCs w:val="24"/>
          <w:highlight w:val="black"/>
        </w:rPr>
        <w:t xml:space="preserve"> </w:t>
      </w:r>
    </w:p>
    <w:p w14:paraId="5E7F1766" w14:textId="77777777" w:rsidR="00204F3C" w:rsidRDefault="00000000" w:rsidP="00AF7281">
      <w:pPr>
        <w:ind w:left="360"/>
        <w:jc w:val="center"/>
      </w:pPr>
      <w:r>
        <w:rPr>
          <w:noProof/>
        </w:rPr>
        <w:drawing>
          <wp:inline distT="0" distB="0" distL="0" distR="0" wp14:anchorId="7BD7E549" wp14:editId="273F8E82">
            <wp:extent cx="2660650" cy="4318000"/>
            <wp:effectExtent l="0" t="0" r="6350" b="6350"/>
            <wp:docPr id="39" name="image22.jpg" descr="C:\Users\USUARIO\Desktop\25182264_1508397279216074_1310709568194977234_o.jpg"/>
            <wp:cNvGraphicFramePr/>
            <a:graphic xmlns:a="http://schemas.openxmlformats.org/drawingml/2006/main">
              <a:graphicData uri="http://schemas.openxmlformats.org/drawingml/2006/picture">
                <pic:pic xmlns:pic="http://schemas.openxmlformats.org/drawingml/2006/picture">
                  <pic:nvPicPr>
                    <pic:cNvPr id="0" name="image22.jpg" descr="C:\Users\USUARIO\Desktop\25182264_1508397279216074_1310709568194977234_o.jpg"/>
                    <pic:cNvPicPr preferRelativeResize="0"/>
                  </pic:nvPicPr>
                  <pic:blipFill>
                    <a:blip r:embed="rId34"/>
                    <a:srcRect/>
                    <a:stretch>
                      <a:fillRect/>
                    </a:stretch>
                  </pic:blipFill>
                  <pic:spPr>
                    <a:xfrm>
                      <a:off x="0" y="0"/>
                      <a:ext cx="2660805" cy="4318252"/>
                    </a:xfrm>
                    <a:prstGeom prst="rect">
                      <a:avLst/>
                    </a:prstGeom>
                    <a:ln/>
                  </pic:spPr>
                </pic:pic>
              </a:graphicData>
            </a:graphic>
          </wp:inline>
        </w:drawing>
      </w:r>
    </w:p>
    <w:p w14:paraId="4CB18CE1" w14:textId="77777777" w:rsidR="00204F3C" w:rsidRPr="00CA5E7B" w:rsidRDefault="00000000">
      <w:pPr>
        <w:jc w:val="both"/>
        <w:rPr>
          <w:rFonts w:ascii="Arial" w:eastAsia="Times New Roman" w:hAnsi="Arial" w:cs="Arial"/>
          <w:b w:val="0"/>
          <w:sz w:val="24"/>
          <w:szCs w:val="24"/>
        </w:rPr>
      </w:pPr>
      <w:r w:rsidRPr="00CA5E7B">
        <w:rPr>
          <w:rFonts w:ascii="Arial" w:eastAsia="Times New Roman" w:hAnsi="Arial" w:cs="Arial"/>
          <w:b w:val="0"/>
          <w:sz w:val="24"/>
          <w:szCs w:val="24"/>
        </w:rPr>
        <w:t xml:space="preserve">En cuanto a la confección de los uniformes históricos, se sugiere contratar los mismos con la </w:t>
      </w:r>
      <w:r w:rsidRPr="00CA5E7B">
        <w:rPr>
          <w:rFonts w:ascii="Arial" w:eastAsia="Times New Roman" w:hAnsi="Arial" w:cs="Arial"/>
          <w:sz w:val="24"/>
          <w:szCs w:val="24"/>
        </w:rPr>
        <w:t>Sastrería Militar de las Fuerzas Armadas</w:t>
      </w:r>
      <w:r w:rsidRPr="00CA5E7B">
        <w:rPr>
          <w:rFonts w:ascii="Arial" w:eastAsia="Times New Roman" w:hAnsi="Arial" w:cs="Arial"/>
          <w:b w:val="0"/>
          <w:sz w:val="24"/>
          <w:szCs w:val="24"/>
        </w:rPr>
        <w:t xml:space="preserve"> argentinas, la cual cuenta con capacidad y experiencia en la confección de uniformes históricos para el Ejército y la Armada; siendo la misma una dependencia pública.</w:t>
      </w:r>
    </w:p>
    <w:p w14:paraId="527671FF" w14:textId="77777777" w:rsidR="00204F3C" w:rsidRPr="00CA5E7B" w:rsidRDefault="00000000">
      <w:pPr>
        <w:jc w:val="both"/>
        <w:rPr>
          <w:rFonts w:ascii="Arial" w:eastAsia="Times New Roman" w:hAnsi="Arial" w:cs="Arial"/>
          <w:b w:val="0"/>
          <w:sz w:val="24"/>
          <w:szCs w:val="24"/>
        </w:rPr>
      </w:pPr>
      <w:r w:rsidRPr="00CA5E7B">
        <w:rPr>
          <w:rFonts w:ascii="Arial" w:eastAsia="Times New Roman" w:hAnsi="Arial" w:cs="Arial"/>
          <w:b w:val="0"/>
          <w:sz w:val="24"/>
          <w:szCs w:val="24"/>
        </w:rPr>
        <w:lastRenderedPageBreak/>
        <w:t xml:space="preserve">Con respecto al armamento propio de la época (armas de avant carga y blancas), se sugiere contratar con el artesano rosarino reconocido internacionalmente </w:t>
      </w:r>
      <w:r w:rsidRPr="00CA5E7B">
        <w:rPr>
          <w:rFonts w:ascii="Arial" w:eastAsia="Times New Roman" w:hAnsi="Arial" w:cs="Arial"/>
          <w:sz w:val="24"/>
          <w:szCs w:val="24"/>
        </w:rPr>
        <w:t>Osvaldo Reynaldo Gatto</w:t>
      </w:r>
      <w:r w:rsidRPr="00CA5E7B">
        <w:rPr>
          <w:rFonts w:ascii="Arial" w:eastAsia="Times New Roman" w:hAnsi="Arial" w:cs="Arial"/>
          <w:b w:val="0"/>
          <w:sz w:val="24"/>
          <w:szCs w:val="24"/>
        </w:rPr>
        <w:t>, quien es consultor y fabricante de réplicas de calidad utilizadas en producciones cinematográficas premiadas y piezas especiales para coleccionistas.</w:t>
      </w:r>
    </w:p>
    <w:p w14:paraId="250030CF" w14:textId="77777777" w:rsidR="00204F3C" w:rsidRDefault="00204F3C">
      <w:pPr>
        <w:jc w:val="both"/>
        <w:rPr>
          <w:rFonts w:ascii="Times New Roman" w:eastAsia="Times New Roman" w:hAnsi="Times New Roman" w:cs="Times New Roman"/>
          <w:b w:val="0"/>
          <w:sz w:val="24"/>
          <w:szCs w:val="24"/>
        </w:rPr>
      </w:pPr>
    </w:p>
    <w:p w14:paraId="501EC761" w14:textId="7C028EE7" w:rsidR="00F55C00" w:rsidRPr="00003C8D" w:rsidRDefault="00F55C00" w:rsidP="00F55C00">
      <w:pPr>
        <w:pStyle w:val="Standard"/>
        <w:widowControl/>
        <w:spacing w:before="113" w:after="113"/>
        <w:jc w:val="both"/>
        <w:rPr>
          <w:rFonts w:ascii="Arial" w:eastAsia="Times New Roman" w:hAnsi="Arial" w:cs="Arial"/>
          <w:color w:val="050505"/>
        </w:rPr>
      </w:pPr>
      <w:r w:rsidRPr="00003C8D">
        <w:rPr>
          <w:rFonts w:ascii="Arial" w:eastAsia="Times New Roman" w:hAnsi="Arial" w:cs="Arial"/>
          <w:color w:val="050505"/>
        </w:rPr>
        <w:t>Por lo expuesto, solicit</w:t>
      </w:r>
      <w:r>
        <w:rPr>
          <w:rFonts w:ascii="Arial" w:eastAsia="Times New Roman" w:hAnsi="Arial" w:cs="Arial"/>
          <w:color w:val="050505"/>
        </w:rPr>
        <w:t xml:space="preserve">o a </w:t>
      </w:r>
      <w:r w:rsidR="0029197B">
        <w:rPr>
          <w:rFonts w:ascii="Arial" w:eastAsia="Times New Roman" w:hAnsi="Arial" w:cs="Arial"/>
          <w:color w:val="050505"/>
        </w:rPr>
        <w:t xml:space="preserve">los legisladores </w:t>
      </w:r>
      <w:r>
        <w:rPr>
          <w:rFonts w:ascii="Arial" w:eastAsia="Times New Roman" w:hAnsi="Arial" w:cs="Arial"/>
          <w:color w:val="050505"/>
        </w:rPr>
        <w:t xml:space="preserve">que </w:t>
      </w:r>
      <w:r w:rsidRPr="00003C8D">
        <w:rPr>
          <w:rFonts w:ascii="Arial" w:eastAsia="Times New Roman" w:hAnsi="Arial" w:cs="Arial"/>
          <w:color w:val="050505"/>
        </w:rPr>
        <w:t>acompañ</w:t>
      </w:r>
      <w:r>
        <w:rPr>
          <w:rFonts w:ascii="Arial" w:eastAsia="Times New Roman" w:hAnsi="Arial" w:cs="Arial"/>
          <w:color w:val="050505"/>
        </w:rPr>
        <w:t xml:space="preserve">en </w:t>
      </w:r>
      <w:r w:rsidRPr="00003C8D">
        <w:rPr>
          <w:rFonts w:ascii="Arial" w:eastAsia="Times New Roman" w:hAnsi="Arial" w:cs="Arial"/>
          <w:color w:val="050505"/>
        </w:rPr>
        <w:t xml:space="preserve">el presente proyecto de </w:t>
      </w:r>
      <w:r>
        <w:rPr>
          <w:rFonts w:ascii="Arial" w:eastAsia="Times New Roman" w:hAnsi="Arial" w:cs="Arial"/>
          <w:color w:val="050505"/>
        </w:rPr>
        <w:t>ley</w:t>
      </w:r>
      <w:r w:rsidRPr="00003C8D">
        <w:rPr>
          <w:rFonts w:ascii="Arial" w:eastAsia="Times New Roman" w:hAnsi="Arial" w:cs="Arial"/>
          <w:color w:val="050505"/>
        </w:rPr>
        <w:t xml:space="preserve">. </w:t>
      </w:r>
    </w:p>
    <w:p w14:paraId="117F7DD8" w14:textId="77777777" w:rsidR="00204F3C" w:rsidRPr="00F55C00" w:rsidRDefault="00204F3C">
      <w:pPr>
        <w:jc w:val="both"/>
        <w:rPr>
          <w:rFonts w:ascii="Times New Roman" w:eastAsia="Times New Roman" w:hAnsi="Times New Roman" w:cs="Times New Roman"/>
          <w:b w:val="0"/>
          <w:sz w:val="24"/>
          <w:szCs w:val="24"/>
          <w:lang w:val="es-AR"/>
        </w:rPr>
      </w:pPr>
    </w:p>
    <w:sectPr w:rsidR="00204F3C" w:rsidRPr="00F55C00">
      <w:headerReference w:type="default" r:id="rId3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01CBF" w14:textId="77777777" w:rsidR="002C2DD0" w:rsidRDefault="002C2DD0">
      <w:pPr>
        <w:spacing w:after="0" w:line="240" w:lineRule="auto"/>
      </w:pPr>
      <w:r>
        <w:separator/>
      </w:r>
    </w:p>
  </w:endnote>
  <w:endnote w:type="continuationSeparator" w:id="0">
    <w:p w14:paraId="5BADC5C7" w14:textId="77777777" w:rsidR="002C2DD0" w:rsidRDefault="002C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Quattrocento Sans">
    <w:altName w:val="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93A45" w14:textId="77777777" w:rsidR="002C2DD0" w:rsidRDefault="002C2DD0">
      <w:pPr>
        <w:spacing w:after="0" w:line="240" w:lineRule="auto"/>
      </w:pPr>
      <w:r>
        <w:separator/>
      </w:r>
    </w:p>
  </w:footnote>
  <w:footnote w:type="continuationSeparator" w:id="0">
    <w:p w14:paraId="2F9ED87D" w14:textId="77777777" w:rsidR="002C2DD0" w:rsidRDefault="002C2DD0">
      <w:pPr>
        <w:spacing w:after="0" w:line="240" w:lineRule="auto"/>
      </w:pPr>
      <w:r>
        <w:continuationSeparator/>
      </w:r>
    </w:p>
  </w:footnote>
  <w:footnote w:id="1">
    <w:p w14:paraId="338D0141" w14:textId="77777777" w:rsidR="00204F3C" w:rsidRDefault="00000000">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222222"/>
          <w:sz w:val="20"/>
          <w:szCs w:val="20"/>
          <w:highlight w:val="white"/>
        </w:rPr>
        <w:t>Historia y Campañas del Ejército Realista.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963D" w14:textId="707E2715" w:rsidR="002F788E" w:rsidRDefault="002F788E">
    <w:pPr>
      <w:pStyle w:val="Encabezado"/>
    </w:pPr>
  </w:p>
  <w:tbl>
    <w:tblPr>
      <w:tblW w:w="9674" w:type="dxa"/>
      <w:tblInd w:w="-36" w:type="dxa"/>
      <w:tblLayout w:type="fixed"/>
      <w:tblCellMar>
        <w:left w:w="10" w:type="dxa"/>
        <w:right w:w="10" w:type="dxa"/>
      </w:tblCellMar>
      <w:tblLook w:val="0000" w:firstRow="0" w:lastRow="0" w:firstColumn="0" w:lastColumn="0" w:noHBand="0" w:noVBand="0"/>
    </w:tblPr>
    <w:tblGrid>
      <w:gridCol w:w="4826"/>
      <w:gridCol w:w="4848"/>
    </w:tblGrid>
    <w:tr w:rsidR="002F788E" w14:paraId="62ECF73E" w14:textId="77777777" w:rsidTr="000B39DF">
      <w:tc>
        <w:tcPr>
          <w:tcW w:w="3435" w:type="dxa"/>
          <w:shd w:val="clear" w:color="auto" w:fill="auto"/>
          <w:tcMar>
            <w:top w:w="0" w:type="dxa"/>
            <w:left w:w="108" w:type="dxa"/>
            <w:bottom w:w="0" w:type="dxa"/>
            <w:right w:w="108" w:type="dxa"/>
          </w:tcMar>
          <w:vAlign w:val="center"/>
        </w:tcPr>
        <w:p w14:paraId="5386D39C" w14:textId="6B9BF0DB" w:rsidR="002F788E" w:rsidRDefault="002F788E" w:rsidP="002F788E">
          <w:pPr>
            <w:pStyle w:val="Encabezado"/>
            <w:snapToGrid w:val="0"/>
            <w:spacing w:line="240" w:lineRule="atLeast"/>
            <w:jc w:val="center"/>
          </w:pPr>
          <w:bookmarkStart w:id="0" w:name="_Hlk112743515"/>
          <w:r w:rsidRPr="00F12942">
            <w:rPr>
              <w:rFonts w:eastAsia="Times New Roman" w:cs="Times New Roman"/>
              <w:noProof/>
              <w:sz w:val="20"/>
              <w:szCs w:val="20"/>
              <w:lang w:eastAsia="es-AR"/>
            </w:rPr>
            <w:drawing>
              <wp:inline distT="0" distB="0" distL="0" distR="0" wp14:anchorId="34D78E82" wp14:editId="3DA48555">
                <wp:extent cx="184785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s1"/>
                        <pic:cNvPicPr>
                          <a:picLocks noChangeAspect="1" noChangeArrowheads="1"/>
                        </pic:cNvPicPr>
                      </pic:nvPicPr>
                      <pic:blipFill>
                        <a:blip r:embed="rId1">
                          <a:lum bright="-50000"/>
                          <a:extLst>
                            <a:ext uri="{28A0092B-C50C-407E-A947-70E740481C1C}">
                              <a14:useLocalDpi xmlns:a14="http://schemas.microsoft.com/office/drawing/2010/main" val="0"/>
                            </a:ext>
                          </a:extLst>
                        </a:blip>
                        <a:srcRect/>
                        <a:stretch>
                          <a:fillRect/>
                        </a:stretch>
                      </pic:blipFill>
                      <pic:spPr bwMode="auto">
                        <a:xfrm>
                          <a:off x="0" y="0"/>
                          <a:ext cx="1847850" cy="1314450"/>
                        </a:xfrm>
                        <a:prstGeom prst="rect">
                          <a:avLst/>
                        </a:prstGeom>
                        <a:solidFill>
                          <a:srgbClr val="FFFFFF"/>
                        </a:solidFill>
                        <a:ln>
                          <a:noFill/>
                        </a:ln>
                      </pic:spPr>
                    </pic:pic>
                  </a:graphicData>
                </a:graphic>
              </wp:inline>
            </w:drawing>
          </w:r>
          <w:bookmarkEnd w:id="0"/>
        </w:p>
      </w:tc>
      <w:tc>
        <w:tcPr>
          <w:tcW w:w="3450" w:type="dxa"/>
          <w:shd w:val="clear" w:color="auto" w:fill="auto"/>
          <w:tcMar>
            <w:top w:w="0" w:type="dxa"/>
            <w:left w:w="108" w:type="dxa"/>
            <w:bottom w:w="0" w:type="dxa"/>
            <w:right w:w="108" w:type="dxa"/>
          </w:tcMar>
          <w:vAlign w:val="center"/>
        </w:tcPr>
        <w:p w14:paraId="7670DD76" w14:textId="4941A6BA" w:rsidR="002F788E" w:rsidRDefault="002F788E" w:rsidP="002F788E">
          <w:pPr>
            <w:pStyle w:val="Encabezado"/>
            <w:snapToGrid w:val="0"/>
            <w:ind w:right="195"/>
            <w:jc w:val="right"/>
          </w:pPr>
          <w:bookmarkStart w:id="1" w:name="_Hlk112743600"/>
          <w:r w:rsidRPr="00F12942">
            <w:rPr>
              <w:rFonts w:eastAsia="Times New Roman" w:cs="Times New Roman"/>
              <w:noProof/>
              <w:sz w:val="20"/>
              <w:szCs w:val="20"/>
              <w:lang w:eastAsia="es-AR"/>
            </w:rPr>
            <w:drawing>
              <wp:inline distT="0" distB="0" distL="0" distR="0" wp14:anchorId="4C82DDE1" wp14:editId="4DFBA04E">
                <wp:extent cx="876300" cy="692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2">
                          <a:lum bright="-50000"/>
                          <a:extLst>
                            <a:ext uri="{28A0092B-C50C-407E-A947-70E740481C1C}">
                              <a14:useLocalDpi xmlns:a14="http://schemas.microsoft.com/office/drawing/2010/main" val="0"/>
                            </a:ext>
                          </a:extLst>
                        </a:blip>
                        <a:srcRect b="21288"/>
                        <a:stretch>
                          <a:fillRect/>
                        </a:stretch>
                      </pic:blipFill>
                      <pic:spPr bwMode="auto">
                        <a:xfrm>
                          <a:off x="0" y="0"/>
                          <a:ext cx="876300" cy="692150"/>
                        </a:xfrm>
                        <a:prstGeom prst="rect">
                          <a:avLst/>
                        </a:prstGeom>
                        <a:solidFill>
                          <a:srgbClr val="FFFFFF"/>
                        </a:solidFill>
                        <a:ln>
                          <a:noFill/>
                        </a:ln>
                      </pic:spPr>
                    </pic:pic>
                  </a:graphicData>
                </a:graphic>
              </wp:inline>
            </w:drawing>
          </w:r>
          <w:bookmarkEnd w:id="1"/>
          <w:r>
            <w:rPr>
              <w:rFonts w:eastAsia="Times New Roman" w:cs="Times New Roman"/>
              <w:sz w:val="20"/>
              <w:szCs w:val="20"/>
            </w:rPr>
            <w:t xml:space="preserve">     </w:t>
          </w:r>
        </w:p>
      </w:tc>
    </w:tr>
  </w:tbl>
  <w:p w14:paraId="4DBB1009" w14:textId="6C46BAEE" w:rsidR="002F788E" w:rsidRDefault="002F788E">
    <w:pPr>
      <w:pStyle w:val="Encabezado"/>
    </w:pPr>
  </w:p>
  <w:p w14:paraId="4AF4FD74" w14:textId="77777777" w:rsidR="002F788E" w:rsidRDefault="002F788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F3C"/>
    <w:rsid w:val="000B65FC"/>
    <w:rsid w:val="00135178"/>
    <w:rsid w:val="00195EBE"/>
    <w:rsid w:val="001F38C4"/>
    <w:rsid w:val="00204F3C"/>
    <w:rsid w:val="0029197B"/>
    <w:rsid w:val="002C2DD0"/>
    <w:rsid w:val="002F788E"/>
    <w:rsid w:val="003D67DF"/>
    <w:rsid w:val="00556F8F"/>
    <w:rsid w:val="00587B9F"/>
    <w:rsid w:val="006955FF"/>
    <w:rsid w:val="006A5913"/>
    <w:rsid w:val="006B2355"/>
    <w:rsid w:val="008E669A"/>
    <w:rsid w:val="009570B6"/>
    <w:rsid w:val="00963511"/>
    <w:rsid w:val="00AF7281"/>
    <w:rsid w:val="00B46ACB"/>
    <w:rsid w:val="00C83190"/>
    <w:rsid w:val="00C90E4B"/>
    <w:rsid w:val="00CA5E7B"/>
    <w:rsid w:val="00D25100"/>
    <w:rsid w:val="00D53D91"/>
    <w:rsid w:val="00F55C00"/>
    <w:rsid w:val="00F56E5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DC791"/>
  <w15:docId w15:val="{7FADE16D-0F48-433B-B5D7-E774F9EF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b/>
        <w:sz w:val="36"/>
        <w:szCs w:val="36"/>
        <w:lang w:val="es-ES" w:eastAsia="es-419"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1C7"/>
  </w:style>
  <w:style w:type="paragraph" w:styleId="Ttulo1">
    <w:name w:val="heading 1"/>
    <w:basedOn w:val="Normal"/>
    <w:next w:val="Normal"/>
    <w:uiPriority w:val="9"/>
    <w:qFormat/>
    <w:pPr>
      <w:keepNext/>
      <w:keepLines/>
      <w:spacing w:before="480" w:after="120"/>
      <w:outlineLvl w:val="0"/>
    </w:pPr>
    <w:rPr>
      <w:sz w:val="48"/>
      <w:szCs w:val="48"/>
    </w:rPr>
  </w:style>
  <w:style w:type="paragraph" w:styleId="Ttulo2">
    <w:name w:val="heading 2"/>
    <w:basedOn w:val="Normal"/>
    <w:next w:val="Normal"/>
    <w:uiPriority w:val="9"/>
    <w:semiHidden/>
    <w:unhideWhenUsed/>
    <w:qFormat/>
    <w:pPr>
      <w:keepNext/>
      <w:keepLines/>
      <w:spacing w:before="360" w:after="80"/>
      <w:outlineLvl w:val="1"/>
    </w:pPr>
  </w:style>
  <w:style w:type="paragraph" w:styleId="Ttulo3">
    <w:name w:val="heading 3"/>
    <w:basedOn w:val="Normal"/>
    <w:next w:val="Normal"/>
    <w:uiPriority w:val="9"/>
    <w:semiHidden/>
    <w:unhideWhenUsed/>
    <w:qFormat/>
    <w:pPr>
      <w:keepNext/>
      <w:keepLines/>
      <w:spacing w:before="280" w:after="80"/>
      <w:outlineLvl w:val="2"/>
    </w:pPr>
    <w:rPr>
      <w:sz w:val="28"/>
      <w:szCs w:val="28"/>
    </w:rPr>
  </w:style>
  <w:style w:type="paragraph" w:styleId="Ttulo4">
    <w:name w:val="heading 4"/>
    <w:basedOn w:val="Normal"/>
    <w:next w:val="Normal"/>
    <w:uiPriority w:val="9"/>
    <w:semiHidden/>
    <w:unhideWhenUsed/>
    <w:qFormat/>
    <w:pPr>
      <w:keepNext/>
      <w:keepLines/>
      <w:spacing w:before="240" w:after="40"/>
      <w:outlineLvl w:val="3"/>
    </w:pPr>
    <w:rPr>
      <w:sz w:val="24"/>
      <w:szCs w:val="24"/>
    </w:rPr>
  </w:style>
  <w:style w:type="paragraph" w:styleId="Ttulo5">
    <w:name w:val="heading 5"/>
    <w:basedOn w:val="Normal"/>
    <w:next w:val="Normal"/>
    <w:uiPriority w:val="9"/>
    <w:semiHidden/>
    <w:unhideWhenUsed/>
    <w:qFormat/>
    <w:pPr>
      <w:keepNext/>
      <w:keepLines/>
      <w:spacing w:before="220" w:after="40"/>
      <w:outlineLvl w:val="4"/>
    </w:pPr>
    <w:rPr>
      <w:sz w:val="22"/>
      <w:szCs w:val="22"/>
    </w:rPr>
  </w:style>
  <w:style w:type="paragraph" w:styleId="Ttulo6">
    <w:name w:val="heading 6"/>
    <w:basedOn w:val="Normal"/>
    <w:next w:val="Normal"/>
    <w:uiPriority w:val="9"/>
    <w:semiHidden/>
    <w:unhideWhenUsed/>
    <w:qFormat/>
    <w:pPr>
      <w:keepNext/>
      <w:keepLines/>
      <w:spacing w:before="200" w:after="40"/>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styleId="Textodeglobo">
    <w:name w:val="Balloon Text"/>
    <w:basedOn w:val="Normal"/>
    <w:link w:val="TextodegloboCar"/>
    <w:uiPriority w:val="99"/>
    <w:semiHidden/>
    <w:unhideWhenUsed/>
    <w:rsid w:val="00F121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21C5"/>
    <w:rPr>
      <w:rFonts w:ascii="Tahoma" w:hAnsi="Tahoma" w:cs="Tahoma"/>
      <w:sz w:val="16"/>
      <w:szCs w:val="16"/>
    </w:rPr>
  </w:style>
  <w:style w:type="paragraph" w:styleId="Prrafodelista">
    <w:name w:val="List Paragraph"/>
    <w:basedOn w:val="Normal"/>
    <w:uiPriority w:val="34"/>
    <w:qFormat/>
    <w:rsid w:val="00C817D1"/>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nhideWhenUsed/>
    <w:rsid w:val="002F788E"/>
    <w:pPr>
      <w:tabs>
        <w:tab w:val="center" w:pos="4252"/>
        <w:tab w:val="right" w:pos="8504"/>
      </w:tabs>
      <w:spacing w:after="0" w:line="240" w:lineRule="auto"/>
    </w:pPr>
  </w:style>
  <w:style w:type="character" w:customStyle="1" w:styleId="EncabezadoCar">
    <w:name w:val="Encabezado Car"/>
    <w:basedOn w:val="Fuentedeprrafopredeter"/>
    <w:link w:val="Encabezado"/>
    <w:rsid w:val="002F788E"/>
  </w:style>
  <w:style w:type="paragraph" w:styleId="Piedepgina">
    <w:name w:val="footer"/>
    <w:basedOn w:val="Normal"/>
    <w:link w:val="PiedepginaCar"/>
    <w:uiPriority w:val="99"/>
    <w:unhideWhenUsed/>
    <w:rsid w:val="002F788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F788E"/>
  </w:style>
  <w:style w:type="paragraph" w:customStyle="1" w:styleId="Standard">
    <w:name w:val="Standard"/>
    <w:rsid w:val="00F55C00"/>
    <w:pPr>
      <w:widowControl w:val="0"/>
      <w:suppressAutoHyphens/>
      <w:autoSpaceDN w:val="0"/>
      <w:spacing w:after="0" w:line="240" w:lineRule="auto"/>
      <w:textAlignment w:val="baseline"/>
    </w:pPr>
    <w:rPr>
      <w:rFonts w:ascii="Times New Roman" w:eastAsia="SimSun" w:hAnsi="Times New Roman" w:cs="Mangal"/>
      <w:b w:val="0"/>
      <w:kern w:val="3"/>
      <w:sz w:val="24"/>
      <w:szCs w:val="24"/>
      <w:lang w:val="es-A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youtube.com/watch?v=pNdL7BtWDq0&amp;t=2s" TargetMode="External"/><Relationship Id="rId26" Type="http://schemas.openxmlformats.org/officeDocument/2006/relationships/image" Target="media/image17.jpg"/><Relationship Id="rId21" Type="http://schemas.openxmlformats.org/officeDocument/2006/relationships/image" Target="media/image13.png"/><Relationship Id="rId34" Type="http://schemas.openxmlformats.org/officeDocument/2006/relationships/image" Target="media/image24.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hyperlink" Target="https://www.regimientosdeamerica.com/uniformes/america/purp-caz-peru" TargetMode="External"/><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youtu.be/_KNzXjeAZVA" TargetMode="External"/><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youtube.com/watch?v=mSNN5qwgAek" TargetMode="External"/><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xb+1u6uh+9hByZRgqfAh+7Y0gA==">AMUW2mWQmIl12YSOyc54l1Xi8p0Kd9FOHUomW/Tfc7CvCAVaCtSIaPB8bOYVLXcCkIEz1RicE+sLdldO7yX+tZI4m3XHcXmdkiq1OzShfMY8YT/qZKf9Zqk=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24</Pages>
  <Words>3212</Words>
  <Characters>17670</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Bernardo Luis Goane</cp:lastModifiedBy>
  <cp:revision>10</cp:revision>
  <dcterms:created xsi:type="dcterms:W3CDTF">2022-08-30T12:27:00Z</dcterms:created>
  <dcterms:modified xsi:type="dcterms:W3CDTF">2022-08-30T14:08:00Z</dcterms:modified>
</cp:coreProperties>
</file>